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Solution Design Document</w:t>
      </w:r>
    </w:p>
    <w:p>
      <w:pPr>
        <w:spacing w:after="240"/>
        <w:jc w:val="left"/>
      </w:pPr>
      <w:r>
        <w:rPr>
          <w:sz w:val="28"/>
          <w:szCs w:val="28"/>
        </w:rPr>
        <w:t xml:space="preserve">Health Claims Adjudication Automation, UiPath Maestro Implementation</w:t>
      </w:r>
    </w:p>
    <w:p>
      <w:pPr>
        <w:spacing w:after="120"/>
      </w:pPr>
      <w:r>
        <w:rPr>
          <w:b/>
          <w:bCs/>
        </w:rPr>
        <w:t xml:space="preserve">Project   </w:t>
      </w:r>
      <w:r>
        <w:t xml:space="preserve">Cascade Health Claims Adjudication (Week 2, UiPath)</w:t>
      </w:r>
    </w:p>
    <w:p>
      <w:pPr>
        <w:spacing w:after="120"/>
      </w:pPr>
      <w:r>
        <w:rPr>
          <w:b/>
          <w:bCs/>
        </w:rPr>
        <w:t xml:space="preserve">Author   </w:t>
      </w:r>
      <w:r>
        <w:t xml:space="preserve">Chris Williams</w:t>
      </w:r>
    </w:p>
    <w:p>
      <w:pPr>
        <w:spacing w:after="120"/>
      </w:pPr>
      <w:r>
        <w:rPr>
          <w:b/>
          <w:bCs/>
        </w:rPr>
        <w:t xml:space="preserve">Date   </w:t>
      </w:r>
      <w:r>
        <w:t xml:space="preserve">May 2026</w:t>
      </w:r>
    </w:p>
    <w:p>
      <w:pPr>
        <w:spacing w:after="120"/>
      </w:pPr>
      <w:r>
        <w:rPr>
          <w:b/>
          <w:bCs/>
        </w:rPr>
        <w:t xml:space="preserve">Version   </w:t>
      </w:r>
      <w:r>
        <w:t xml:space="preserve">1.0</w:t>
      </w:r>
    </w:p>
    <w:p>
      <w:pPr>
        <w:spacing w:after="120"/>
      </w:pPr>
      <w:r>
        <w:rPr>
          <w:b/>
          <w:bCs/>
        </w:rPr>
        <w:t xml:space="preserve">Platform   </w:t>
      </w:r>
      <w:r>
        <w:t xml:space="preserve">UiPath Studio Web, Maestro, Orchestrator Cloud</w:t>
      </w:r>
    </w:p>
    <w:p>
      <w:pPr>
        <w:spacing w:after="120"/>
      </w:pPr>
      <w:r>
        <w:rPr>
          <w:b/>
          <w:bCs/>
        </w:rPr>
        <w:t xml:space="preserve">Solution Package   </w:t>
      </w:r>
      <w:r>
        <w:t xml:space="preserve">CascadeClaimsAdjudication 1.0.9</w:t>
      </w:r>
    </w:p>
    <w:p>
      <w:pPr>
        <w:pStyle w:val="Heading1"/>
        <w:spacing w:after="160" w:before="320"/>
      </w:pPr>
      <w:r>
        <w:t xml:space="preserve">1. Executive Summary</w:t>
      </w:r>
    </w:p>
    <w:p>
      <w:pPr>
        <w:spacing w:after="120"/>
      </w:pPr>
      <w:r>
        <w:t xml:space="preserve">This document describes the design and implementation of an agent-based health claims adjudication process built on UiPath Maestro. The solution ingests inbound claim submissions from a designated email channel, extracts structured claim data from PDF attachments through Document Understanding, evaluates each claim against policy rules using a specialized adjudication agent, and routes the result to one of three dispositions: approve, deny, or human review.</w:t>
      </w:r>
    </w:p>
    <w:p>
      <w:pPr>
        <w:spacing w:after="120"/>
      </w:pPr>
      <w:r>
        <w:t xml:space="preserve">The architecture follows a Maestro orchestrated multi-agent pattern. A long-running BPMN process is triggered by inbound email, performs document ingestion through a supporting RPA workflow, hands the resulting document reference to a sequence of two specialized agents, and routes the final disposition through an exclusive gateway to either an automated audit log or a human review path through Action Center. The agents themselves are independently versioned UiPath Studio agent projects, each with their own tools and prompts, packaged together with the Maestro flow into a single deployable solution.</w:t>
      </w:r>
    </w:p>
    <w:p>
      <w:pPr>
        <w:spacing w:after="120"/>
      </w:pPr>
      <w:r>
        <w:t xml:space="preserve">Where the Week 1 loan intake automation demonstrated rule-based dispatcher and performer orchestration through the Robotic Enterprise Framework, this Week 2 implementation demonstrates the same separation of concerns at a higher level of abstraction. Maestro replaces the queue framework as the orchestrator. Agents replace deterministic Library activities for the steps that require reasoning over unstructured input. Document Understanding replaces regex-based field extraction. The handoff to a human reviewer through Action Center is the same pattern as Week 1, applied here to the small subset of claims where adjudication policy is genuinely ambiguous.</w:t>
      </w:r>
    </w:p>
    <w:p>
      <w:pPr>
        <w:pStyle w:val="Heading1"/>
        <w:spacing w:after="160" w:before="320"/>
      </w:pPr>
      <w:r>
        <w:t xml:space="preserve">2. Business Context and Objectives</w:t>
      </w:r>
    </w:p>
    <w:p>
      <w:pPr>
        <w:spacing w:after="120"/>
      </w:pPr>
      <w:r>
        <w:t xml:space="preserve">Claim adjudication at a typical mid-sized health insurer is bottlenecked by manual document review. Claims arrive as PDFs of varying quality, attached to emails from provider billing systems. Adjudicators spend significant time reading the claim, looking up the member's policy, checking the procedure against coverage rules, and either approving the claim, denying it with a reason code, or escalating it for medical necessity review. The work is repetitive for clean claims and judgement-heavy for the long tail.</w:t>
      </w:r>
    </w:p>
    <w:p>
      <w:pPr>
        <w:spacing w:after="120"/>
      </w:pPr>
      <w:r>
        <w:t xml:space="preserve">The adjudication automation addresses this asymmetry directly:</w:t>
      </w:r>
    </w:p>
    <w:p>
      <w:pPr>
        <w:pStyle w:val="ListParagraph"/>
        <w:numPr>
          <w:ilvl w:val="0"/>
          <w:numId w:val="2"/>
        </w:numPr>
        <w:spacing w:after="80"/>
      </w:pPr>
      <w:r>
        <w:t xml:space="preserve">Extract structured claim data from PDFs without manual transcription, using Document Understanding rather than fragile template parsing.</w:t>
      </w:r>
    </w:p>
    <w:p>
      <w:pPr>
        <w:pStyle w:val="ListParagraph"/>
        <w:numPr>
          <w:ilvl w:val="0"/>
          <w:numId w:val="2"/>
        </w:numPr>
        <w:spacing w:after="80"/>
      </w:pPr>
      <w:r>
        <w:t xml:space="preserve">Apply coverage and dollar-threshold rules consistently and auditably, with the agent's reasoning captured in the execution trace.</w:t>
      </w:r>
    </w:p>
    <w:p>
      <w:pPr>
        <w:pStyle w:val="ListParagraph"/>
        <w:numPr>
          <w:ilvl w:val="0"/>
          <w:numId w:val="2"/>
        </w:numPr>
        <w:spacing w:after="80"/>
      </w:pPr>
      <w:r>
        <w:t xml:space="preserve">Use a language model as a consultation tool for medical necessity questions where the policy answer is not mechanical, while keeping the final decision under explicit gateway logic.</w:t>
      </w:r>
    </w:p>
    <w:p>
      <w:pPr>
        <w:pStyle w:val="ListParagraph"/>
        <w:numPr>
          <w:ilvl w:val="0"/>
          <w:numId w:val="2"/>
        </w:numPr>
        <w:spacing w:after="80"/>
      </w:pPr>
      <w:r>
        <w:t xml:space="preserve">Route only the genuinely ambiguous claims to a human reviewer, and pre-populate the review form with the agent's reasoning so reviewers start from a structured starting point rather than a raw PDF.</w:t>
      </w:r>
    </w:p>
    <w:p>
      <w:pPr>
        <w:pStyle w:val="ListParagraph"/>
        <w:numPr>
          <w:ilvl w:val="0"/>
          <w:numId w:val="2"/>
        </w:numPr>
        <w:spacing w:after="80"/>
      </w:pPr>
      <w:r>
        <w:t xml:space="preserve">Produce a per-claim audit log in Google Sheets that captures the disposition, the reasoning, and the artifacts referenced, suitable for downstream compliance review.</w:t>
      </w:r>
    </w:p>
    <w:p>
      <w:pPr>
        <w:pStyle w:val="Heading1"/>
        <w:spacing w:after="160" w:before="320"/>
      </w:pPr>
      <w:r>
        <w:t xml:space="preserve">3. Solution Architecture</w:t>
      </w:r>
    </w:p>
    <w:p>
      <w:pPr>
        <w:spacing w:after="120"/>
      </w:pPr>
      <w:r>
        <w:t xml:space="preserve">The solution comprises four deliverables: a Maestro orchestration flow, two specialized agents, and a supporting RPA workflow. They are packaged together as a single UiPath solution and deployed into a dedicated Orchestrator folder.</w:t>
      </w:r>
    </w:p>
    <w:p>
      <w:pPr>
        <w:pStyle w:val="Heading2"/>
        <w:spacing w:after="120" w:before="240"/>
      </w:pPr>
      <w:r>
        <w:t xml:space="preserve">3.1 Component Overview</w:t>
      </w:r>
    </w:p>
    <w:p>
      <w:pPr>
        <w:spacing w:after="120"/>
      </w:pPr>
      <w:r>
        <w:rPr>
          <w:b/>
          <w:bCs/>
        </w:rPr>
        <w:t xml:space="preserve">ClaimAdjudicationFlow </w:t>
      </w:r>
      <w:r>
        <w:t xml:space="preserve">is the Maestro BPMN process that orchestrates the end-to-end workflow. It is triggered by inbound email matching a fixed subject pattern with an attachment, performs document ingestion through a supporting RPA call, invokes the two adjudication agents in sequence, marks the source email as processed, and routes the disposition to an audit log or a human review path. The flow is authored in Studio Web and runs under the Maestro runtime.</w:t>
      </w:r>
    </w:p>
    <w:p>
      <w:pPr>
        <w:spacing w:after="120"/>
      </w:pPr>
      <w:r>
        <w:rPr>
          <w:b/>
          <w:bCs/>
        </w:rPr>
        <w:t xml:space="preserve">ClaimIntakeAgent </w:t>
      </w:r>
      <w:r>
        <w:t xml:space="preserve">is the first of two specialized agents. It receives a document reference pointing at the uploaded PDF in the project's storage bucket, runs a Document Understanding extraction tool against it, and emits a structured claim record with fields including claim identifier, member identifier, date of birth, policy number, provider NPI, provider name, total charges, and provider narrative. The agent's responsibility ends at producing clean structured data; it does not make adjudication decisions.</w:t>
      </w:r>
    </w:p>
    <w:p>
      <w:pPr>
        <w:spacing w:after="120"/>
      </w:pPr>
      <w:r>
        <w:rPr>
          <w:b/>
          <w:bCs/>
        </w:rPr>
        <w:t xml:space="preserve">AdjudicationAgent </w:t>
      </w:r>
      <w:r>
        <w:t xml:space="preserve">is the second agent. It takes the structured claim record from ClaimIntakeAgent as input, evaluates the claim against policy rules, and emits a disposition of APPROVE, DENY, or REVIEW along with a reasoning narrative and a confidence indicator. The agent has access to an Anthropic Claude consultation tool, which it invokes for medical-necessity second opinions on procedures that are not categorically covered or excluded. The Claude tool call is logged in the agent's execution trace alongside the agent's own reasoning.</w:t>
      </w:r>
    </w:p>
    <w:p>
      <w:pPr>
        <w:spacing w:after="120"/>
      </w:pPr>
      <w:r>
        <w:rPr>
          <w:b/>
          <w:bCs/>
        </w:rPr>
        <w:t xml:space="preserve">UploadAttachmentToBucket </w:t>
      </w:r>
      <w:r>
        <w:t xml:space="preserve">is a small RPA workflow invoked by the Maestro flow to persist email attachments into a UiPath storage bucket and return a bucket path that the agents can read. Decoupling the upload step from the agents lets the agents stay declarative about what they need (a document reference) without requiring them to manage the underlying storage interaction.</w:t>
      </w:r>
    </w:p>
    <w:p>
      <w:pPr>
        <w:spacing w:after="120"/>
      </w:pPr>
      <w:r>
        <w:rPr>
          <w:b/>
          <w:bCs/>
        </w:rPr>
        <w:t xml:space="preserve">SimpleApprovalApp </w:t>
      </w:r>
      <w:r>
        <w:t xml:space="preserve">is an Action Center application used for the human review branch. When a claim disposition resolves to REVIEW, the flow creates an approval task in Action Center and assigns it to a designated reviewer. The reviewer sees the structured claim, the agent's reasoning, and the disposition recommendation, and either approves or denies the claim with optional notes. Their decision is captured back into the flow and logged.</w:t>
      </w:r>
    </w:p>
    <w:p>
      <w:pPr>
        <w:pStyle w:val="Heading2"/>
        <w:spacing w:after="120" w:before="240"/>
      </w:pPr>
      <w:r>
        <w:t xml:space="preserve">3.2 Data Flow</w:t>
      </w:r>
    </w:p>
    <w:p>
      <w:pPr>
        <w:spacing w:after="120"/>
      </w:pPr>
      <w:r>
        <w:t xml:space="preserve">A provider billing system sends a claim email to the configured intake address. The email subject contains a fixed marker that the Maestro trigger matches against, and the email carries one PDF attachment. The trigger fires on receipt and starts a new instance of ClaimAdjudicationFlow.</w:t>
      </w:r>
    </w:p>
    <w:p>
      <w:pPr>
        <w:spacing w:after="120"/>
      </w:pPr>
      <w:r>
        <w:t xml:space="preserve">The flow extracts the attachment using the Gmail connector, hands it to UploadAttachmentToBucket, and stores the resulting bucket path in a flow variable named out_BucketPath. This variable is then passed as the document_reference input into ClaimIntakeAgent. The agent reads the PDF from the bucket, runs Document Understanding extraction, and emits the structured claim fields as agent outputs that bind back to flow variables.</w:t>
      </w:r>
    </w:p>
    <w:p>
      <w:pPr>
        <w:spacing w:after="120"/>
      </w:pPr>
      <w:r>
        <w:t xml:space="preserve">AdjudicationAgent consumes the structured claim, evaluates it, and emits a disposition variable. The flow then marks the source email as processed using the Gmail Move Email activity, applying a Processed Claims label and removing the email from the inbox. This step is intentionally placed before the routing gateway so that the source email is consistently labeled regardless of which downstream branch fires.</w:t>
      </w:r>
    </w:p>
    <w:p>
      <w:pPr>
        <w:spacing w:after="120"/>
      </w:pPr>
      <w:r>
        <w:t xml:space="preserve">The exclusive gateway named Route by Disposition reads the disposition variable and routes to one of three branches based on JavaScript conditions evaluated against the variable. The APPROVE and DENY branches each write a row to the appropriate Google Sheets audit log and end the flow. The REVIEW branch creates an Action Center task, waits for the reviewer's response, writes a row capturing the reviewer's decision, and ends the flow.</w:t>
      </w:r>
    </w:p>
    <w:p>
      <w:pPr>
        <w:spacing w:after="120"/>
      </w:pPr>
      <w:r>
        <w:t xml:space="preserve">Decoupling the agents from the orchestration through the Maestro flow yields the same architectural benefits that the queue-based dispatcher and performer pattern provides in Week 1. Agents can be developed, versioned, and tested independently of the flow that calls them. The flow can be modified to insert new steps, reorder routing branches, or add additional agents without changing the agent implementations themselves. The boundary between deterministic gateway logic and probabilistic agent reasoning is explicit in the BPMN, which makes the system's decision-making auditable in a way that an end-to-end LLM prompt would not be.</w:t>
      </w:r>
    </w:p>
    <w:p>
      <w:pPr>
        <w:pStyle w:val="Heading2"/>
        <w:spacing w:after="120" w:before="240"/>
      </w:pPr>
      <w:r>
        <w:t xml:space="preserve">3.3 Configuration and Deployment</w:t>
      </w:r>
    </w:p>
    <w:p>
      <w:pPr>
        <w:spacing w:after="120"/>
      </w:pPr>
      <w:r>
        <w:t xml:space="preserve">The solution is packaged as CascadeClaimsAdjudication and deployed into a dedicated Orchestrator folder of the same name. The deployment includes the Maestro flow, both agent projects, the RPA workflow, the Action Center app definition, and the connections that the flow's tasks reference. Connections are bound at design time to platform-resource references, meaning the flow holds a reference to a connection by identity rather than embedding the connection record itself in the package.</w:t>
      </w:r>
    </w:p>
    <w:p>
      <w:pPr>
        <w:spacing w:after="120"/>
      </w:pPr>
      <w:r>
        <w:t xml:space="preserve">Three connections are required at runtime: a Gmail connection for the inbound trigger and the email-processing steps, a Google Sheets connection for the audit log writes, and an Anthropic Claude connection used by AdjudicationAgent's consultation tool. All three are authenticated through OAuth at deployment activation time. The folder also has a storage bucket bound for attachment persistence and an assigned cloud robot machine for the RPA workflow's execution.</w:t>
      </w:r>
    </w:p>
    <w:p>
      <w:pPr>
        <w:pStyle w:val="Heading1"/>
        <w:spacing w:after="160" w:before="320"/>
      </w:pPr>
      <w:r>
        <w:t xml:space="preserve">4. Routing Logic and Decision Rules</w:t>
      </w:r>
    </w:p>
    <w:p>
      <w:pPr>
        <w:spacing w:after="120"/>
      </w:pPr>
      <w:r>
        <w:t xml:space="preserve">AdjudicationAgent is responsible for emitting a disposition value, and the flow's exclusive gateway is responsible for routing on that value. This separation is deliberate. The agent's reasoning is probabilistic and based on policy understanding; the gateway's evaluation is deterministic and trivially auditable. Reviewers, auditors, and downstream operators can inspect the gateway's three branch conditions and know exactly what triggered each path, even if the agent's internal reasoning for arriving at a given disposition is more nuanced.</w:t>
      </w:r>
    </w:p>
    <w:p>
      <w:pPr>
        <w:spacing w:after="120"/>
      </w:pPr>
      <w:r>
        <w:rPr>
          <w:b/>
          <w:bCs/>
        </w:rPr>
        <w:t xml:space="preserve">APPROVE </w:t>
      </w:r>
      <w:r>
        <w:t xml:space="preserve">is emitted when the agent determines that the claim satisfies all coverage and policy requirements with high confidence. These claims meet the applicable policy criteria, fall within standard dollar ranges for the procedure, do not flag any prior-authorization or medical-necessity concerns, and are issued by an in-network provider. APPROVE claims write to the approved audit log and the flow ends. In a production deployment these would also trigger the downstream payment workflow.</w:t>
      </w:r>
    </w:p>
    <w:p>
      <w:pPr>
        <w:spacing w:after="120"/>
      </w:pPr>
      <w:r>
        <w:rPr>
          <w:b/>
          <w:bCs/>
        </w:rPr>
        <w:t xml:space="preserve">DENY </w:t>
      </w:r>
      <w:r>
        <w:t xml:space="preserve">is emitted when the agent determines that the claim fails a categorical coverage rule, such as a procedure explicitly excluded by the member's plan, a service rendered outside the member's eligibility window, or a duplicate submission. DENY claims write to the denied audit log along with a structured reason code from the agent's reasoning. As in the Week 1 loan intake design, sending categorically denied claims to a human reviewer adds no value because the policy answer is already clear; the human's time is better spent on cases where their judgement actually changes the outcome.</w:t>
      </w:r>
    </w:p>
    <w:p>
      <w:pPr>
        <w:spacing w:after="120"/>
      </w:pPr>
      <w:r>
        <w:rPr>
          <w:b/>
          <w:bCs/>
        </w:rPr>
        <w:t xml:space="preserve">REVIEW </w:t>
      </w:r>
      <w:r>
        <w:t xml:space="preserve">is emitted when the agent's confidence is below threshold, when a medical-necessity question requires clinical judgement that the agent does not have, or when the dollar amount exceeds the configured high-value cutoff regardless of coverage analysis. REVIEW claims are sent to Action Center where a reviewer sees the structured claim and the agent's reasoning, and provides a final approve or deny decision. The reviewer's decision is captured back into the flow and logged. This branch is the agent-era analog of the Week 1 ESCALATE_PENDING_APPROVAL and MANUAL_REVIEW paths combined into a single human handoff.</w:t>
      </w:r>
    </w:p>
    <w:p>
      <w:pPr>
        <w:spacing w:after="120"/>
      </w:pPr>
      <w:r>
        <w:t xml:space="preserve">The agent invokes the Anthropic Claude consultation tool when it encounters a medical-necessity question that benefits from a second opinion. Claude is positioned as a tool, not as a co-decisionmaker: the agent issues a structured query, receives a structured response, and incorporates the response into its own reasoning. The disposition is still the agent's output. This pattern keeps the chain of responsibility clear for audit purposes; if a claim's reasoning cites the consultation, the consultation is logged in the trace alongside the agent's other steps.</w:t>
      </w:r>
    </w:p>
    <w:p>
      <w:pPr>
        <w:pStyle w:val="Heading1"/>
        <w:spacing w:after="160" w:before="320"/>
      </w:pPr>
      <w:r>
        <w:t xml:space="preserve">5. Exception Handling Strategy</w:t>
      </w:r>
    </w:p>
    <w:p>
      <w:pPr>
        <w:spacing w:after="120"/>
      </w:pPr>
      <w:r>
        <w:t xml:space="preserve">Maestro distinguishes failures by the layer at which they occur, and the flow handles each layer differently.</w:t>
      </w:r>
    </w:p>
    <w:p>
      <w:pPr>
        <w:spacing w:after="120"/>
      </w:pPr>
      <w:r>
        <w:rPr>
          <w:b/>
          <w:bCs/>
        </w:rPr>
        <w:t xml:space="preserve">Document ingestion failures </w:t>
      </w:r>
      <w:r>
        <w:t xml:space="preserve">are raised when the email attachment cannot be saved to the bucket, when the bucket path does not resolve, or when Document Understanding cannot read the PDF. These failures appear at the Save Attachment or Process Document steps in the execution trace. The flow does not retry document ingestion automatically; a failed claim is left in a failed Maestro instance state for operations review, and the source email is not marked as processed, which means a fixed deployment can re-trigger on the same email after the underlying issue is resolved.</w:t>
      </w:r>
    </w:p>
    <w:p>
      <w:pPr>
        <w:spacing w:after="120"/>
      </w:pPr>
      <w:r>
        <w:rPr>
          <w:b/>
          <w:bCs/>
        </w:rPr>
        <w:t xml:space="preserve">Agent reasoning failures </w:t>
      </w:r>
      <w:r>
        <w:t xml:space="preserve">are raised when an agent times out, when an LLM call returns a malformed structured output that the agent cannot bind to its declared output schema, or when a required tool is unavailable. These are surfaced as agent task failures in the Maestro execution trail. As with document ingestion failures, retry is intentionally not automatic; agent failures often indicate either a prompt or schema issue worth diagnosing rather than a transient condition worth retrying.</w:t>
      </w:r>
    </w:p>
    <w:p>
      <w:pPr>
        <w:spacing w:after="120"/>
      </w:pPr>
      <w:r>
        <w:rPr>
          <w:b/>
          <w:bCs/>
        </w:rPr>
        <w:t xml:space="preserve">Connection failures </w:t>
      </w:r>
      <w:r>
        <w:t xml:space="preserve">are raised when an OAuth token has expired, when the Gmail or Sheets API rate-limits, or when the Anthropic API is unreachable. These manifest as activity-level errors and the flow stops at the failed step. Reauthentication is handled outside the flow through Orchestrator's connection management; once the connection is restored, the flow can be resumed from the failed step.</w:t>
      </w:r>
    </w:p>
    <w:p>
      <w:pPr>
        <w:spacing w:after="120"/>
      </w:pPr>
      <w:r>
        <w:rPr>
          <w:b/>
          <w:bCs/>
        </w:rPr>
        <w:t xml:space="preserve">Gateway evaluation failures </w:t>
      </w:r>
      <w:r>
        <w:t xml:space="preserve">would be raised if the disposition variable held an unexpected value not matched by any of the three branch conditions. In the current implementation this is treated as a logical impossibility because the agent's output schema constrains disposition to the three allowed values. If an unexpected value were ever to appear, the flow would fail at the gateway and the failure would be visible in the execution trace, which is the correct surface for that class of bug.</w:t>
      </w:r>
    </w:p>
    <w:p>
      <w:pPr>
        <w:pStyle w:val="Heading1"/>
        <w:spacing w:after="160" w:before="320"/>
      </w:pPr>
      <w:r>
        <w:t xml:space="preserve">6. Agent Design and Tool Configuration</w:t>
      </w:r>
    </w:p>
    <w:p>
      <w:pPr>
        <w:spacing w:after="120"/>
      </w:pPr>
      <w:r>
        <w:t xml:space="preserve">The two agents are independently versioned UiPath Studio agent projects, each with their own prompt, declared inputs and outputs, and tool list. Versioning is deliberate: a change to one agent's prompt or schema does not require redeploying the other, and the orchestration flow remains stable as long as the agents' input and output contracts are honored.</w:t>
      </w:r>
    </w:p>
    <w:p>
      <w:pPr>
        <w:pStyle w:val="Heading2"/>
        <w:spacing w:after="120" w:before="240"/>
      </w:pPr>
      <w:r>
        <w:t xml:space="preserve">6.1 ClaimIntakeAgent</w:t>
      </w:r>
    </w:p>
    <w:p>
      <w:pPr>
        <w:spacing w:after="120"/>
      </w:pPr>
      <w:r>
        <w:t xml:space="preserve">ClaimIntakeAgent's only responsibility is converting a PDF reference into a structured claim record. Its declared input is a document_reference string, which the flow populates from out_BucketPath. Its declared outputs include claim_id, member_id, date_of_birth, policy_number, provider_npi, provider_name, total_charges, and provider_narrative. The agent has one tool: a Document Understanding extraction action configured against a claim-form taxonomy. The agent's system prompt is short and instructs it to invoke the tool, validate that all required fields were extracted, and return the structured record without commentary.</w:t>
      </w:r>
    </w:p>
    <w:p>
      <w:pPr>
        <w:spacing w:after="120"/>
      </w:pPr>
      <w:r>
        <w:t xml:space="preserve">Keeping the intake agent narrowly scoped is a design choice. A single agent that both extracts and adjudicates would be harder to evaluate and harder to debug; failures could be attributed to either extraction or reasoning, and there would be no clean place to inject deterministic validation. Splitting the responsibility means ClaimIntakeAgent can be tested with a known PDF and known expected outputs, and AdjudicationAgent can be tested with synthesized structured records that bypass extraction entirely.</w:t>
      </w:r>
    </w:p>
    <w:p>
      <w:pPr>
        <w:pStyle w:val="Heading2"/>
        <w:spacing w:after="120" w:before="240"/>
      </w:pPr>
      <w:r>
        <w:t xml:space="preserve">6.2 AdjudicationAgent</w:t>
      </w:r>
    </w:p>
    <w:p>
      <w:pPr>
        <w:spacing w:after="120"/>
      </w:pPr>
      <w:r>
        <w:t xml:space="preserve">AdjudicationAgent receives the structured claim record as input and emits a disposition, a reasoning string, and a confidence indicator. The agent has one external tool, an Anthropic Claude consultation, which it invokes for medical-necessity questions where additional reasoning is warranted. The agent's prompt instructs it to evaluate the claim against the configured policy rules first, escalate to the consultation tool only when policy rules do not categorically cover or exclude the procedure, and emit a structured disposition regardless of which path the reasoning takes.</w:t>
      </w:r>
    </w:p>
    <w:p>
      <w:pPr>
        <w:spacing w:after="120"/>
      </w:pPr>
      <w:r>
        <w:t xml:space="preserve">The Claude consultation is configured as an explicit tool rather than as the agent's primary reasoning engine. The agent decides when to invoke the consultation, frames the question, and incorporates the response. This pattern preserves the audit boundary: the disposition is the agent's output, the consultation is a logged tool call, and a reviewer reading the execution trace can see exactly where outside reasoning was introduced and what question was asked.</w:t>
      </w:r>
    </w:p>
    <w:p>
      <w:pPr>
        <w:pStyle w:val="Heading1"/>
        <w:spacing w:after="160" w:before="320"/>
      </w:pPr>
      <w:r>
        <w:t xml:space="preserve">7. Human in the Loop, Action Center</w:t>
      </w:r>
    </w:p>
    <w:p>
      <w:pPr>
        <w:spacing w:after="120"/>
      </w:pPr>
      <w:r>
        <w:t xml:space="preserve">When AdjudicationAgent emits a REVIEW disposition, the flow creates a task in the SimpleApprovalApp Action Center application rather than terminating with an automated decision. The task is assigned to a designated reviewer and contains the structured claim record, the agent's reasoning narrative, the agent's confidence indicator, and the disposition recommendation. The reviewer sees a single screen with all the context needed to make a decision, and selects either Approve or Deny with optional notes.</w:t>
      </w:r>
    </w:p>
    <w:p>
      <w:pPr>
        <w:spacing w:after="120"/>
      </w:pPr>
      <w:r>
        <w:t xml:space="preserve">The integration is synchronous in the Maestro flow sense: the Send to Action Center step waits for the reviewer's response before continuing to the audit log write. This is a different choice than the Week 1 fire-and-forget pattern with Form Tasks, and it is appropriate here because the Maestro instance is already long-lived. The flow's per-claim instance is the natural unit of work to keep open while a reviewer decides; there is no separate worker draining a queue that would be blocked by waiting.</w:t>
      </w:r>
    </w:p>
    <w:p>
      <w:pPr>
        <w:spacing w:after="120"/>
      </w:pPr>
      <w:r>
        <w:t xml:space="preserve">The reviewer's decision is written to the audit log along with the original agent disposition and reasoning. This produces an audit trail that captures both the recommendation and the override, which is exactly the kind of record that downstream compliance review benefits from.</w:t>
      </w:r>
    </w:p>
    <w:p>
      <w:pPr>
        <w:pStyle w:val="Heading1"/>
        <w:spacing w:after="160" w:before="320"/>
      </w:pPr>
      <w:r>
        <w:t xml:space="preserve">8. Observability and Reporting</w:t>
      </w:r>
    </w:p>
    <w:p>
      <w:pPr>
        <w:spacing w:after="120"/>
      </w:pPr>
      <w:r>
        <w:t xml:space="preserve">Each Maestro instance produces an execution trace that records every step, every agent invocation, every tool call, and every variable value at each transition. The trace is visible in the Maestro execution view and is the primary operational artifact for diagnosing individual claim runs. It captures the disposition that the agent emitted, the reasoning that produced it, any consultation tool calls and their responses, the gateway evaluation result, and the final audit log write.</w:t>
      </w:r>
    </w:p>
    <w:p>
      <w:pPr>
        <w:spacing w:after="120"/>
      </w:pPr>
      <w:r>
        <w:t xml:space="preserve">The Google Sheets audit log is the secondary reporting surface. Every claim writes one row to one of three sheets corresponding to APPROVE, DENY, and REVIEW dispositions. Each row captures the claim identifier, the member identifier, the disposition, the agent's reasoning summary, and the timestamp. For REVIEW claims, the row also captures the reviewer's decision and notes. Filtering the sheets by date or disposition gives a real-time operational view of claim throughput and approval rates without requiring access to the Maestro UI.</w:t>
      </w:r>
    </w:p>
    <w:p>
      <w:pPr>
        <w:spacing w:after="120"/>
      </w:pPr>
      <w:r>
        <w:t xml:space="preserve">End-to-end testing was conducted by sending claim emails with synthetic PDF attachments to the configured intake address. Each test claim was crafted to exercise a specific branch of the routing logic: a clean in-network claim with appropriate dollar amount to exercise APPROVE, a categorically excluded procedure to exercise DENY, and a borderline medical-necessity case with an above-threshold dollar amount to exercise REVIEW. The flow handled each case end to end in Studio Web debug mode, including the human handoff and the audit log write.</w:t>
      </w:r>
    </w:p>
    <w:p>
      <w:pPr>
        <w:pStyle w:val="Heading1"/>
        <w:spacing w:after="160" w:before="320"/>
      </w:pPr>
      <w:r>
        <w:t xml:space="preserve">9. Known Limitations and Future Work</w:t>
      </w:r>
    </w:p>
    <w:p>
      <w:pPr>
        <w:pStyle w:val="ListParagraph"/>
        <w:numPr>
          <w:ilvl w:val="0"/>
          <w:numId w:val="2"/>
        </w:numPr>
        <w:spacing w:after="80"/>
      </w:pPr>
      <w:r>
        <w:t xml:space="preserve">Document Understanding is configured against a single claim-form taxonomy. Real provider submissions arrive in varied formats and a production deployment would require either a broader taxonomy or a routing step ahead of extraction that selects the appropriate form.</w:t>
      </w:r>
    </w:p>
    <w:p>
      <w:pPr>
        <w:pStyle w:val="ListParagraph"/>
        <w:numPr>
          <w:ilvl w:val="0"/>
          <w:numId w:val="2"/>
        </w:numPr>
        <w:spacing w:after="80"/>
      </w:pPr>
      <w:r>
        <w:t xml:space="preserve">Policy rules are encoded in the AdjudicationAgent's prompt rather than in an external policy store. This is appropriate for the prototype but a production deployment would benefit from externalizing rules so that policy changes do not require an agent redeployment, and so that the rule set itself can be reviewed and approved through a governance process separate from agent versioning.</w:t>
      </w:r>
    </w:p>
    <w:p>
      <w:pPr>
        <w:pStyle w:val="ListParagraph"/>
        <w:numPr>
          <w:ilvl w:val="0"/>
          <w:numId w:val="2"/>
        </w:numPr>
        <w:spacing w:after="80"/>
      </w:pPr>
      <w:r>
        <w:t xml:space="preserve">The Anthropic Claude consultation tool is invoked at the agent's discretion based on prompt instruction. A production deployment would likely add deterministic guardrails on when consultation is mandatory, such as for any procedure above a configured dollar threshold or in a specific clinical category.</w:t>
      </w:r>
    </w:p>
    <w:p>
      <w:pPr>
        <w:pStyle w:val="ListParagraph"/>
        <w:numPr>
          <w:ilvl w:val="0"/>
          <w:numId w:val="2"/>
        </w:numPr>
        <w:spacing w:after="80"/>
      </w:pPr>
      <w:r>
        <w:t xml:space="preserve">The audit log writes to a single Google Sheets workbook. A production deployment would replace this with a write to an internal claims data warehouse, and the audit row would capture additional fields including the agent version, the model version used in any consultation, and the trace identifier for the originating Maestro instance.</w:t>
      </w:r>
    </w:p>
    <w:p>
      <w:pPr>
        <w:pStyle w:val="ListParagraph"/>
        <w:numPr>
          <w:ilvl w:val="0"/>
          <w:numId w:val="2"/>
        </w:numPr>
        <w:spacing w:after="80"/>
      </w:pPr>
      <w:r>
        <w:t xml:space="preserve">The Action Center review form captures a free-text notes field. A production deployment would add structured override reasoning fields aligned to the same taxonomy the agent uses, which would let downstream analysis compare agent dispositions to reviewer overrides on a like-for-like basis.</w:t>
      </w:r>
    </w:p>
    <w:p>
      <w:pPr>
        <w:pStyle w:val="ListParagraph"/>
        <w:numPr>
          <w:ilvl w:val="0"/>
          <w:numId w:val="2"/>
        </w:numPr>
        <w:spacing w:after="80"/>
      </w:pPr>
      <w:r>
        <w:t xml:space="preserve">Connection bindings, machine assignments, and storage bucket scoping are folder-local and are recreated each time the deployment folder is rebuilt. This is a known operational characteristic of the platform and is being captured as a governance thread for the Week 3 deliverables.</w:t>
      </w:r>
    </w:p>
    <w:p>
      <w:pPr>
        <w:pStyle w:val="Heading1"/>
        <w:spacing w:after="160" w:before="320"/>
      </w:pPr>
      <w:r>
        <w:t xml:space="preserve">10. Implementation Notes and Lessons Learned</w:t>
      </w:r>
    </w:p>
    <w:p>
      <w:pPr>
        <w:spacing w:after="120"/>
      </w:pPr>
      <w:r>
        <w:t xml:space="preserve">Several implementation observations surfaced during this iteration that are worth recording for future work and for teams adopting similar patterns.</w:t>
      </w:r>
    </w:p>
    <w:p>
      <w:pPr>
        <w:pStyle w:val="Heading3"/>
        <w:spacing w:after="100" w:before="200"/>
      </w:pPr>
      <w:r>
        <w:t xml:space="preserve">10.1 Connection References Are Not Connection Records</w:t>
      </w:r>
    </w:p>
    <w:p>
      <w:pPr>
        <w:spacing w:after="120"/>
      </w:pPr>
      <w:r>
        <w:t xml:space="preserve">Studio Web's connection picker exposes two sections that look identical but behave very differently. Defined resources are connection records owned by the solution package and serialized into the deployable artifact. Platform resources are folder-scoped connection records that the package merely references by identity. Binding a flow task to a Defined resource ships that connection record with the package; binding to a Platform resource references the folder's existing connection. Rebinding tasks to Defined resources during iteration silently accumulates duplicate connection records in the package, each one suffixed with an incrementing index, and these duplicates eventually block deployment upgrades. The lesson is that the picker UI does not signal the architectural difference, and the correct pattern is to bind every task to Platform resources and treat Defined resources as a debugging-only convenience.</w:t>
      </w:r>
    </w:p>
    <w:p>
      <w:pPr>
        <w:pStyle w:val="Heading3"/>
        <w:spacing w:after="100" w:before="200"/>
      </w:pPr>
      <w:r>
        <w:t xml:space="preserve">10.2 Folder Deletion Is Destructive Beyond the Folder</w:t>
      </w:r>
    </w:p>
    <w:p>
      <w:pPr>
        <w:spacing w:after="120"/>
      </w:pPr>
      <w:r>
        <w:t xml:space="preserve">Deleting and recreating an Orchestrator folder is sometimes the cleanest way out of a tangled deployment state, but it has consequences beyond the folder itself. Folder-scoped machine assignments, connection authentications, storage bucket allocations, and trigger registrations all need to be reestablished after a rebuild. The trigger registrations in particular can fail in nonobvious ways because the underlying Gmail watch subscription on the provider side is orphaned by the folder deletion and the new registration cannot find it. The lesson is that folder rebuilds require a checklist, not a single action; the surface area of platform state that lives in folder scope is larger than the folder UI suggests.</w:t>
      </w:r>
    </w:p>
    <w:p>
      <w:pPr>
        <w:pStyle w:val="Heading3"/>
        <w:spacing w:after="100" w:before="200"/>
      </w:pPr>
      <w:r>
        <w:t xml:space="preserve">10.3 Storage Bucket References Are Folder-Scoped</w:t>
      </w:r>
    </w:p>
    <w:p>
      <w:pPr>
        <w:spacing w:after="120"/>
      </w:pPr>
      <w:r>
        <w:t xml:space="preserve">Storage buckets are created and bound at the folder level, and a bucket reference in an agent's tool configuration resolves at runtime against whichever folder is executing the agent. In Studio Web debug mode the folder is the developer's personal workspace and the bucket reference resolves to a shared bucket. In a deployed run the folder is the deployment's own folder and the bucket reference resolves to a different bucket. If the upstream RPA workflow writes to the deployed folder's bucket but the downstream agent tool is configured to read from the personal workspace bucket, the agent fails with a document reference error even though both ends are individually working. The lesson is that bucket references must be parameterized at the agent input level, not hardcoded in the tool configuration, if the same flow is to work in both debug and deployed contexts.</w:t>
      </w:r>
    </w:p>
    <w:p>
      <w:pPr>
        <w:pStyle w:val="Heading3"/>
        <w:spacing w:after="100" w:before="200"/>
      </w:pPr>
      <w:r>
        <w:t xml:space="preserve">10.4 Maestro Instances Are the Right Audit Boundary</w:t>
      </w:r>
    </w:p>
    <w:p>
      <w:pPr>
        <w:spacing w:after="120"/>
      </w:pPr>
      <w:r>
        <w:t xml:space="preserve">In Week 1 the Orchestrator queue served as the per-transaction state store, and the queue dashboard was the operational view. In Week 2 the equivalent role is played by the Maestro instance. Each claim is one instance, the instance's execution trace is the per-transaction history, and the Maestro execution view is the operational surface. Once this mapping is internalized, the rest of the design follows: agent failures, gateway evaluations, tool calls, and human handoffs all live inside the instance and are inspectable from a single view. The lesson is that adopting Maestro is not just adopting a flow language; it is adopting a different unit of operational accounting than queue-based RPA.</w:t>
      </w:r>
    </w:p>
    <w:p>
      <w:pPr>
        <w:pStyle w:val="Heading3"/>
        <w:spacing w:after="100" w:before="200"/>
      </w:pPr>
      <w:r>
        <w:t xml:space="preserve">10.5 Cloud Robot Runtimes Are Allocated, Not Just Assigned</w:t>
      </w:r>
    </w:p>
    <w:p>
      <w:pPr>
        <w:spacing w:after="120"/>
      </w:pPr>
      <w:r>
        <w:t xml:space="preserve">A Maestro flow that calls an RPA workflow needs a machine in its folder, and the machine needs an allocated runtime in the appropriate runtime category. Assigning a cloud robot template to a folder satisfies the assignment requirement but leaves the runtime allocation at zero, which produces a 170007 error on the first RPA call with a message about no machine being available. The two-step nature of the assignment is not obvious from the folder UI. The lesson is that machine assignment and runtime allocation are separate operations, and a folder that shows an assigned machine can still fail to run jobs.</w:t>
      </w:r>
    </w:p>
    <w:p>
      <w:pPr>
        <w:pStyle w:val="Heading1"/>
        <w:spacing w:after="160" w:before="320"/>
      </w:pPr>
      <w:r>
        <w:t xml:space="preserve">11. Closing</w:t>
      </w:r>
    </w:p>
    <w:p>
      <w:pPr>
        <w:spacing w:after="120"/>
      </w:pPr>
      <w:r>
        <w:t xml:space="preserve">The claim adjudication automation demonstrates Maestro orchestration, multi-agent task decomposition, agent tool integration through both Document Understanding and Anthropic Claude, exclusive gateway routing on agent output, and Action Center based human handoff in a single cohesive solution. It absorbs the high-volume routine portion of claim adjudication while preserving and structuring the genuinely judgement-based cases for human review. The patterns established here, particularly the separation of probabilistic agent reasoning from deterministic gateway routing and the narrow scoping of each agent's responsibility, generalize to the broader vertical solution that the Week 3 deliverables build toward.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 Claims Adjudication SDD</dc:title>
  <dc:creator>Chris Williams</dc:creator>
  <cp:lastModifiedBy>Un-named</cp:lastModifiedBy>
  <cp:revision>1</cp:revision>
  <dcterms:created xsi:type="dcterms:W3CDTF">2026-05-04T19:51:19.277Z</dcterms:created>
  <dcterms:modified xsi:type="dcterms:W3CDTF">2026-05-04T19:51:19.278Z</dcterms:modified>
</cp:coreProperties>
</file>

<file path=docProps/custom.xml><?xml version="1.0" encoding="utf-8"?>
<Properties xmlns="http://schemas.openxmlformats.org/officeDocument/2006/custom-properties" xmlns:vt="http://schemas.openxmlformats.org/officeDocument/2006/docPropsVTypes"/>
</file>