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08" w:hanging="0"/>
        <w:rPr>
          <w:rFonts w:cs="Calibri" w:cstheme="minorHAnsi"/>
          <w:i/>
          <w:i/>
          <w:sz w:val="24"/>
          <w:szCs w:val="24"/>
          <w:u w:val="single"/>
        </w:rPr>
      </w:pPr>
      <w:r>
        <w:rPr>
          <w:rFonts w:cs="Calibri" w:cstheme="minorHAnsi"/>
          <w:i/>
          <w:sz w:val="24"/>
          <w:szCs w:val="24"/>
        </w:rPr>
        <w:t xml:space="preserve">    </w:t>
      </w:r>
      <w:r>
        <w:rPr>
          <w:rFonts w:cs="Calibri" w:cstheme="minorHAnsi"/>
          <w:i/>
          <w:sz w:val="24"/>
          <w:szCs w:val="24"/>
          <w:u w:val="single"/>
        </w:rPr>
        <w:t>Analyse des conditions juridiques d’utilisation des données initiales</w:t>
      </w:r>
    </w:p>
    <w:p>
      <w:pPr>
        <w:pStyle w:val="Normal"/>
        <w:rPr>
          <w:rFonts w:cs="Calibri" w:cstheme="minorHAnsi"/>
          <w:i/>
          <w:i/>
          <w:sz w:val="24"/>
          <w:szCs w:val="24"/>
          <w:u w:val="single"/>
        </w:rPr>
      </w:pPr>
      <w:r>
        <w:rPr>
          <w:rFonts w:cs="Calibri" w:cstheme="minorHAnsi"/>
          <w:i/>
          <w:sz w:val="24"/>
          <w:szCs w:val="24"/>
          <w:u w:val="single"/>
        </w:rPr>
      </w:r>
    </w:p>
    <w:p>
      <w:pPr>
        <w:pStyle w:val="Normal"/>
        <w:numPr>
          <w:ilvl w:val="0"/>
          <w:numId w:val="0"/>
        </w:numPr>
        <w:shd w:val="clear" w:color="auto" w:fill="FFFFFF"/>
        <w:spacing w:lineRule="atLeast" w:line="347" w:before="210" w:after="210"/>
        <w:outlineLvl w:val="0"/>
        <w:rPr>
          <w:rFonts w:eastAsia="Times New Roman" w:cs="Calibri" w:cstheme="minorHAnsi"/>
          <w:bCs/>
          <w:kern w:val="2"/>
          <w:sz w:val="24"/>
          <w:szCs w:val="24"/>
          <w:lang w:eastAsia="fr-FR"/>
        </w:rPr>
      </w:pPr>
      <w:r>
        <w:rPr>
          <w:rFonts w:eastAsia="Times New Roman" w:cs="Calibri" w:cstheme="minorHAnsi"/>
          <w:bCs/>
          <w:kern w:val="2"/>
          <w:sz w:val="24"/>
          <w:szCs w:val="24"/>
          <w:lang w:eastAsia="fr-FR"/>
        </w:rPr>
        <w:t>Conditions d'utilisation</w:t>
      </w:r>
      <w:r>
        <w:rPr>
          <w:rFonts w:eastAsia="Times New Roman" w:cs="Calibri" w:cstheme="minorHAnsi"/>
          <w:bCs/>
          <w:kern w:val="2"/>
          <w:sz w:val="24"/>
          <w:szCs w:val="24"/>
          <w:lang w:eastAsia="fr-FR"/>
        </w:rPr>
        <w:t>s</w:t>
      </w:r>
      <w:r>
        <w:rPr>
          <w:rFonts w:eastAsia="Times New Roman" w:cs="Calibri" w:cstheme="minorHAnsi"/>
          <w:bCs/>
          <w:kern w:val="2"/>
          <w:sz w:val="24"/>
          <w:szCs w:val="24"/>
          <w:lang w:eastAsia="fr-FR"/>
        </w:rPr>
        <w:t xml:space="preserve"> d'IMDb :</w:t>
      </w:r>
    </w:p>
    <w:p>
      <w:pPr>
        <w:pStyle w:val="Normal"/>
        <w:numPr>
          <w:ilvl w:val="0"/>
          <w:numId w:val="0"/>
        </w:numPr>
        <w:shd w:val="clear" w:color="auto" w:fill="FFFFFF"/>
        <w:spacing w:lineRule="atLeast" w:line="347" w:before="210" w:after="210"/>
        <w:outlineLvl w:val="0"/>
        <w:rPr>
          <w:rFonts w:cs="Calibri" w:cstheme="minorHAnsi"/>
          <w:bCs/>
          <w:sz w:val="24"/>
          <w:szCs w:val="24"/>
          <w:highlight w:val="white"/>
        </w:rPr>
      </w:pPr>
      <w:r>
        <w:rPr>
          <w:rFonts w:eastAsia="Times New Roman" w:cs="Calibri" w:cstheme="minorHAnsi"/>
          <w:bCs/>
          <w:kern w:val="2"/>
          <w:sz w:val="24"/>
          <w:szCs w:val="24"/>
          <w:lang w:eastAsia="fr-FR"/>
        </w:rPr>
        <w:t>Tout d’abord, les conditions que nous allons voir sont applicables pour les c</w:t>
      </w:r>
      <w:r>
        <w:rPr>
          <w:rFonts w:eastAsia="Times New Roman" w:cs="Calibri" w:cstheme="minorHAnsi"/>
          <w:bCs/>
          <w:kern w:val="2"/>
          <w:sz w:val="24"/>
          <w:szCs w:val="24"/>
          <w:lang w:eastAsia="fr-FR"/>
        </w:rPr>
        <w:t>a</w:t>
      </w:r>
      <w:r>
        <w:rPr>
          <w:rFonts w:eastAsia="Times New Roman" w:cs="Calibri" w:cstheme="minorHAnsi"/>
          <w:bCs/>
          <w:kern w:val="2"/>
          <w:sz w:val="24"/>
          <w:szCs w:val="24"/>
          <w:lang w:eastAsia="fr-FR"/>
        </w:rPr>
        <w:t>s suivantes :</w:t>
      </w:r>
    </w:p>
    <w:p>
      <w:pPr>
        <w:pStyle w:val="Normal"/>
        <w:numPr>
          <w:ilvl w:val="0"/>
          <w:numId w:val="1"/>
        </w:numPr>
        <w:shd w:val="clear" w:color="auto" w:fill="FFFFFF"/>
        <w:spacing w:lineRule="atLeast" w:line="347" w:before="210" w:after="210"/>
        <w:outlineLvl w:val="0"/>
        <w:rPr>
          <w:rFonts w:cs="Calibri" w:cstheme="minorHAnsi"/>
          <w:bCs/>
          <w:sz w:val="24"/>
          <w:szCs w:val="24"/>
          <w:highlight w:val="white"/>
        </w:rPr>
      </w:pPr>
      <w:r>
        <w:rPr>
          <w:rFonts w:eastAsia="Times New Roman" w:cs="Calibri" w:cstheme="minorHAnsi"/>
          <w:bCs/>
          <w:kern w:val="2"/>
          <w:sz w:val="24"/>
          <w:szCs w:val="24"/>
          <w:highlight w:val="white"/>
          <w:lang w:eastAsia="fr-FR"/>
        </w:rPr>
        <w:t xml:space="preserve">Si l’on </w:t>
      </w:r>
      <w:r>
        <w:rPr>
          <w:rFonts w:cs="Calibri" w:cstheme="minorHAnsi"/>
          <w:bCs/>
          <w:sz w:val="24"/>
          <w:szCs w:val="24"/>
          <w:shd w:fill="FFFFFF" w:val="clear"/>
        </w:rPr>
        <w:t>visite IMDb.com</w:t>
      </w:r>
    </w:p>
    <w:p>
      <w:pPr>
        <w:pStyle w:val="ListParagraph"/>
        <w:numPr>
          <w:ilvl w:val="0"/>
          <w:numId w:val="1"/>
        </w:numPr>
        <w:shd w:val="clear" w:color="auto" w:fill="FFFFFF"/>
        <w:spacing w:lineRule="atLeast" w:line="347" w:before="210" w:after="210"/>
        <w:contextualSpacing/>
        <w:outlineLvl w:val="0"/>
        <w:rPr>
          <w:rFonts w:cs="Calibri" w:cstheme="minorHAnsi"/>
          <w:bCs/>
          <w:sz w:val="24"/>
          <w:szCs w:val="24"/>
          <w:highlight w:val="white"/>
        </w:rPr>
      </w:pPr>
      <w:r>
        <w:rPr>
          <w:rFonts w:cs="Calibri" w:cstheme="minorHAnsi"/>
          <w:bCs/>
          <w:sz w:val="24"/>
          <w:szCs w:val="24"/>
          <w:shd w:fill="FFFFFF" w:val="clear"/>
        </w:rPr>
        <w:t>Si l’on utilise d'autres services, produits IMDb. </w:t>
      </w:r>
    </w:p>
    <w:p>
      <w:pPr>
        <w:pStyle w:val="ListParagraph"/>
        <w:numPr>
          <w:ilvl w:val="0"/>
          <w:numId w:val="1"/>
        </w:numPr>
        <w:shd w:val="clear" w:color="auto" w:fill="FFFFFF"/>
        <w:spacing w:lineRule="atLeast" w:line="347" w:before="210" w:after="210"/>
        <w:contextualSpacing/>
        <w:outlineLvl w:val="0"/>
        <w:rPr>
          <w:rFonts w:cs="Calibri" w:cstheme="minorHAnsi"/>
          <w:bCs/>
          <w:sz w:val="24"/>
          <w:szCs w:val="24"/>
          <w:highlight w:val="white"/>
        </w:rPr>
      </w:pPr>
      <w:r>
        <w:rPr>
          <w:rFonts w:cs="Calibri" w:cstheme="minorHAnsi"/>
          <w:bCs/>
          <w:sz w:val="24"/>
          <w:szCs w:val="24"/>
          <w:shd w:fill="FFFFFF" w:val="clear"/>
        </w:rPr>
        <w:t>Si l’on utilise des logiciels ou des applications mobiles fourni</w:t>
      </w:r>
      <w:r>
        <w:rPr>
          <w:rFonts w:cs="Calibri" w:cstheme="minorHAnsi"/>
          <w:bCs/>
          <w:sz w:val="24"/>
          <w:szCs w:val="24"/>
          <w:shd w:fill="FFFFFF" w:val="clear"/>
        </w:rPr>
        <w:t>e</w:t>
      </w:r>
      <w:r>
        <w:rPr>
          <w:rFonts w:cs="Calibri" w:cstheme="minorHAnsi"/>
          <w:bCs/>
          <w:sz w:val="24"/>
          <w:szCs w:val="24"/>
          <w:shd w:fill="FFFFFF" w:val="clear"/>
        </w:rPr>
        <w:t>s par IMDb étant soumis aux présentes Conditions d'utilisation.</w:t>
      </w:r>
    </w:p>
    <w:p>
      <w:pPr>
        <w:pStyle w:val="Normal"/>
        <w:numPr>
          <w:ilvl w:val="0"/>
          <w:numId w:val="0"/>
        </w:numPr>
        <w:shd w:val="clear" w:color="auto" w:fill="FFFFFF"/>
        <w:spacing w:lineRule="atLeast" w:line="347" w:before="210" w:after="210"/>
        <w:outlineLvl w:val="0"/>
        <w:rPr>
          <w:rFonts w:cs="Calibri" w:cstheme="minorHAnsi"/>
          <w:bCs/>
          <w:sz w:val="24"/>
          <w:szCs w:val="24"/>
          <w:highlight w:val="white"/>
        </w:rPr>
      </w:pPr>
      <w:r>
        <w:rPr>
          <w:rFonts w:cs="Calibri" w:cstheme="minorHAnsi"/>
          <w:bCs/>
          <w:sz w:val="24"/>
          <w:szCs w:val="24"/>
          <w:shd w:fill="FFFFFF" w:val="clear"/>
        </w:rPr>
        <w:t>Il y a également d’autres conditions en cas d’utilisation des services IMDb actuel et futur comme par exemple IMDbPro.com.</w:t>
      </w:r>
    </w:p>
    <w:p>
      <w:pPr>
        <w:pStyle w:val="Normal"/>
        <w:numPr>
          <w:ilvl w:val="0"/>
          <w:numId w:val="0"/>
        </w:numPr>
        <w:shd w:val="clear" w:color="auto" w:fill="FFFFFF"/>
        <w:spacing w:lineRule="atLeast" w:line="347" w:before="210" w:after="210"/>
        <w:outlineLvl w:val="0"/>
        <w:rPr>
          <w:rFonts w:cs="Calibri" w:cstheme="minorHAnsi"/>
          <w:sz w:val="24"/>
          <w:szCs w:val="24"/>
          <w:highlight w:val="white"/>
        </w:rPr>
      </w:pPr>
      <w:r>
        <w:rPr>
          <w:rFonts w:cs="Calibri" w:cstheme="minorHAnsi"/>
          <w:bCs/>
          <w:sz w:val="24"/>
          <w:szCs w:val="24"/>
          <w:shd w:fill="FFFFFF" w:val="clear"/>
        </w:rPr>
        <w:t>Concernant les communications, il faut accepter de</w:t>
      </w:r>
      <w:r>
        <w:rPr>
          <w:rFonts w:cs="Calibri" w:cstheme="minorHAnsi"/>
          <w:sz w:val="24"/>
          <w:szCs w:val="24"/>
          <w:shd w:fill="FFFFFF" w:val="clear"/>
        </w:rPr>
        <w:t xml:space="preserve"> recevoir des communications électroniques comme par exemple </w:t>
      </w:r>
      <w:r>
        <w:rPr>
          <w:rFonts w:cs="Calibri" w:cstheme="minorHAnsi"/>
          <w:sz w:val="24"/>
          <w:szCs w:val="24"/>
          <w:shd w:fill="FFFFFF" w:val="clear"/>
        </w:rPr>
        <w:t xml:space="preserve">le </w:t>
      </w:r>
      <w:r>
        <w:rPr>
          <w:rFonts w:cs="Calibri" w:cstheme="minorHAnsi"/>
          <w:sz w:val="24"/>
          <w:szCs w:val="24"/>
          <w:shd w:fill="FFFFFF" w:val="clear"/>
        </w:rPr>
        <w:t>mail.</w:t>
      </w:r>
    </w:p>
    <w:p>
      <w:pPr>
        <w:pStyle w:val="Normal"/>
        <w:numPr>
          <w:ilvl w:val="0"/>
          <w:numId w:val="0"/>
        </w:numPr>
        <w:shd w:val="clear" w:color="auto" w:fill="FFFFFF"/>
        <w:spacing w:lineRule="atLeast" w:line="347" w:before="210" w:after="210"/>
        <w:outlineLvl w:val="0"/>
        <w:rPr>
          <w:rFonts w:cs="Calibri" w:cstheme="minorHAnsi"/>
          <w:sz w:val="24"/>
          <w:szCs w:val="24"/>
          <w:highlight w:val="white"/>
        </w:rPr>
      </w:pPr>
      <w:r>
        <w:rPr>
          <w:rFonts w:cs="Calibri" w:cstheme="minorHAnsi"/>
          <w:sz w:val="24"/>
          <w:szCs w:val="24"/>
          <w:shd w:fill="FFFFFF" w:val="clear"/>
        </w:rPr>
        <w:t>Ensuite, les données du site IMDb sont bien évidemment non utilisable</w:t>
      </w:r>
      <w:r>
        <w:rPr>
          <w:rFonts w:cs="Calibri" w:cstheme="minorHAnsi"/>
          <w:sz w:val="24"/>
          <w:szCs w:val="24"/>
          <w:shd w:fill="FFFFFF" w:val="clear"/>
        </w:rPr>
        <w:t>s</w:t>
      </w:r>
      <w:r>
        <w:rPr>
          <w:rFonts w:cs="Calibri" w:cstheme="minorHAnsi"/>
          <w:sz w:val="24"/>
          <w:szCs w:val="24"/>
          <w:shd w:fill="FFFFFF" w:val="clear"/>
        </w:rPr>
        <w:t xml:space="preserve"> car ce sont la propriété d’IMDb et de ses fournisseurs protégé</w:t>
      </w:r>
      <w:r>
        <w:rPr>
          <w:rFonts w:cs="Calibri" w:cstheme="minorHAnsi"/>
          <w:sz w:val="24"/>
          <w:szCs w:val="24"/>
          <w:shd w:fill="FFFFFF" w:val="clear"/>
        </w:rPr>
        <w:t>s</w:t>
      </w:r>
      <w:r>
        <w:rPr>
          <w:rFonts w:cs="Calibri" w:cstheme="minorHAnsi"/>
          <w:sz w:val="24"/>
          <w:szCs w:val="24"/>
          <w:shd w:fill="FFFFFF" w:val="clear"/>
        </w:rPr>
        <w:t xml:space="preserve"> par les lois américaines et internationales sur le droit d’auteur. Cela est valable pour les logiciels, pour tous les contenus ainsi que la compilation de tout le contenu.</w:t>
      </w:r>
    </w:p>
    <w:p>
      <w:pPr>
        <w:pStyle w:val="Normal"/>
        <w:numPr>
          <w:ilvl w:val="0"/>
          <w:numId w:val="0"/>
        </w:numPr>
        <w:shd w:val="clear" w:color="auto" w:fill="FFFFFF"/>
        <w:spacing w:lineRule="atLeast" w:line="347" w:before="210" w:after="210"/>
        <w:outlineLvl w:val="0"/>
        <w:rPr>
          <w:rFonts w:cs="Calibri" w:cstheme="minorHAnsi"/>
          <w:sz w:val="24"/>
          <w:szCs w:val="24"/>
          <w:highlight w:val="white"/>
        </w:rPr>
      </w:pPr>
      <w:r>
        <w:rPr>
          <w:rFonts w:cs="Calibri" w:cstheme="minorHAnsi"/>
          <w:sz w:val="24"/>
          <w:szCs w:val="24"/>
          <w:shd w:fill="FFFFFF" w:val="clear"/>
        </w:rPr>
        <w:t>IMDb ou bien ses fournisseurs de contenu accordent une licence limitée, non exclusive, non transférable afin d’accéder et faire un usage personnel et non commercial. Des conditions de licence supplémentaires peuvent être trouvées dans les Conditions. </w:t>
      </w:r>
    </w:p>
    <w:p>
      <w:pPr>
        <w:pStyle w:val="Normal"/>
        <w:numPr>
          <w:ilvl w:val="0"/>
          <w:numId w:val="0"/>
        </w:numPr>
        <w:shd w:val="clear" w:color="auto" w:fill="FFFFFF"/>
        <w:spacing w:lineRule="atLeast" w:line="347" w:before="210" w:after="210"/>
        <w:outlineLvl w:val="0"/>
        <w:rPr>
          <w:rFonts w:cs="Calibri" w:cstheme="minorHAnsi"/>
          <w:sz w:val="24"/>
          <w:szCs w:val="24"/>
          <w:highlight w:val="white"/>
        </w:rPr>
      </w:pPr>
      <w:r>
        <w:rPr>
          <w:rFonts w:cs="Calibri" w:cstheme="minorHAnsi"/>
          <w:sz w:val="24"/>
          <w:szCs w:val="24"/>
          <w:shd w:fill="FFFFFF" w:val="clear"/>
        </w:rPr>
        <w:t>En effet, les Services IMDb ou toute partie de ces services ne peuvent être reproduits, dupliqués, copiés, vendus, revendus, visités ou autrement exploités à des fins commerciales sans le consentement écrit d'IMDb. Ainsi il est possible d’utiliser tous les Services IMDb conformément à toutes les lois applicables.</w:t>
      </w:r>
    </w:p>
    <w:p>
      <w:pPr>
        <w:pStyle w:val="Normal"/>
        <w:numPr>
          <w:ilvl w:val="0"/>
          <w:numId w:val="0"/>
        </w:numPr>
        <w:shd w:val="clear" w:color="auto" w:fill="FFFFFF"/>
        <w:spacing w:lineRule="atLeast" w:line="347" w:before="210" w:after="210"/>
        <w:outlineLvl w:val="0"/>
        <w:rPr>
          <w:rFonts w:cs="Calibri" w:cstheme="minorHAnsi"/>
          <w:sz w:val="24"/>
          <w:szCs w:val="24"/>
          <w:highlight w:val="white"/>
        </w:rPr>
      </w:pPr>
      <w:r>
        <w:rPr>
          <w:rFonts w:cs="Calibri" w:cstheme="minorHAnsi"/>
          <w:sz w:val="24"/>
          <w:szCs w:val="24"/>
          <w:shd w:fill="FFFFFF" w:val="clear"/>
        </w:rPr>
        <w:t>En utilisant un service IMDb, vous êtes responsable du maintien de la confidentialité des informations de connexion et de la restriction de l'accès à votre ordinateur.</w:t>
      </w:r>
    </w:p>
    <w:p>
      <w:pPr>
        <w:pStyle w:val="Normal"/>
        <w:numPr>
          <w:ilvl w:val="0"/>
          <w:numId w:val="0"/>
        </w:numPr>
        <w:shd w:val="clear" w:color="auto" w:fill="FFFFFF"/>
        <w:spacing w:lineRule="atLeast" w:line="347" w:before="210" w:after="210"/>
        <w:outlineLvl w:val="0"/>
        <w:rPr>
          <w:rFonts w:cs="Calibri" w:cstheme="minorHAnsi"/>
          <w:sz w:val="24"/>
          <w:szCs w:val="24"/>
          <w:highlight w:val="white"/>
        </w:rPr>
      </w:pPr>
      <w:r>
        <w:rPr>
          <w:rFonts w:cs="Calibri" w:cstheme="minorHAnsi"/>
          <w:sz w:val="24"/>
          <w:szCs w:val="24"/>
          <w:shd w:fill="FFFFFF" w:val="clear"/>
        </w:rPr>
        <w:t>En visionnant du contenu sur IMDb TV, il est nécessaire d’accepter les </w:t>
      </w:r>
      <w:hyperlink r:id="rId2">
        <w:r>
          <w:rPr>
            <w:rStyle w:val="LienInternet"/>
            <w:rFonts w:cs="Calibri" w:cstheme="minorHAnsi"/>
            <w:color w:val="000000"/>
            <w:sz w:val="24"/>
            <w:szCs w:val="24"/>
            <w:highlight w:val="white"/>
            <w:u w:val="none"/>
          </w:rPr>
          <w:t>conditions d'utilisation d'Amazon Prime Video</w:t>
        </w:r>
      </w:hyperlink>
      <w:r>
        <w:rPr>
          <w:rFonts w:cs="Calibri" w:cstheme="minorHAnsi"/>
          <w:sz w:val="24"/>
          <w:szCs w:val="24"/>
          <w:shd w:fill="FFFFFF" w:val="clear"/>
        </w:rPr>
        <w:t>.</w:t>
      </w:r>
    </w:p>
    <w:p>
      <w:pPr>
        <w:pStyle w:val="Normal"/>
        <w:numPr>
          <w:ilvl w:val="0"/>
          <w:numId w:val="0"/>
        </w:numPr>
        <w:shd w:val="clear" w:color="auto" w:fill="FFFFFF"/>
        <w:spacing w:lineRule="atLeast" w:line="347" w:before="210" w:after="210"/>
        <w:outlineLvl w:val="0"/>
        <w:rPr>
          <w:rFonts w:cs="Calibri" w:cstheme="minorHAnsi"/>
          <w:sz w:val="24"/>
          <w:szCs w:val="24"/>
          <w:highlight w:val="white"/>
        </w:rPr>
      </w:pPr>
      <w:r>
        <w:rPr>
          <w:rFonts w:cs="Calibri" w:cstheme="minorHAnsi"/>
          <w:sz w:val="24"/>
          <w:szCs w:val="24"/>
          <w:shd w:fill="FFFFFF" w:val="clear"/>
        </w:rPr>
        <w:t>Il est possible de se plaindre par rapport aux droits d’auteurs, dans le cas ou votre travail a été copié.</w:t>
      </w:r>
    </w:p>
    <w:p>
      <w:pPr>
        <w:pStyle w:val="Normal"/>
        <w:numPr>
          <w:ilvl w:val="0"/>
          <w:numId w:val="0"/>
        </w:numPr>
        <w:shd w:val="clear" w:color="auto" w:fill="FFFFFF"/>
        <w:spacing w:lineRule="atLeast" w:line="347" w:before="210" w:after="210"/>
        <w:outlineLvl w:val="0"/>
        <w:rPr>
          <w:rFonts w:cs="Calibri" w:cstheme="minorHAnsi"/>
          <w:sz w:val="24"/>
          <w:szCs w:val="24"/>
          <w:highlight w:val="white"/>
        </w:rPr>
      </w:pPr>
      <w:bookmarkStart w:id="0" w:name="_GoBack"/>
      <w:bookmarkEnd w:id="0"/>
      <w:r>
        <w:rPr>
          <w:rFonts w:cs="Calibri" w:cstheme="minorHAnsi"/>
          <w:sz w:val="24"/>
          <w:szCs w:val="24"/>
          <w:shd w:fill="FFFFFF" w:val="clear"/>
        </w:rPr>
        <w:t xml:space="preserve">Des conditions supplémentaires du logiciel IMDb sont importantes concernant l’utilisation du </w:t>
      </w:r>
      <w:r>
        <w:rPr>
          <w:rFonts w:cs="Calibri" w:cstheme="minorHAnsi"/>
          <w:bCs/>
          <w:sz w:val="24"/>
          <w:szCs w:val="24"/>
          <w:shd w:fill="FFFFFF" w:val="clear"/>
        </w:rPr>
        <w:t>logiciel IMDb, l’utilisation de services tiers, la non présence d'ingénierie inverse</w:t>
      </w:r>
      <w:r>
        <w:rPr>
          <w:rFonts w:cs="Calibri" w:cstheme="minorHAnsi"/>
          <w:sz w:val="24"/>
          <w:szCs w:val="24"/>
          <w:shd w:fill="FFFFFF" w:val="clear"/>
        </w:rPr>
        <w:t xml:space="preserve">, </w:t>
      </w:r>
      <w:r>
        <w:rPr>
          <w:rFonts w:cs="Calibri" w:cstheme="minorHAnsi"/>
          <w:bCs/>
          <w:sz w:val="24"/>
          <w:szCs w:val="24"/>
          <w:shd w:fill="FFFFFF" w:val="clear"/>
        </w:rPr>
        <w:t>les mises à jour</w:t>
      </w:r>
      <w:r>
        <w:rPr>
          <w:rFonts w:cs="Calibri" w:cstheme="minorHAnsi"/>
          <w:sz w:val="24"/>
          <w:szCs w:val="24"/>
          <w:shd w:fill="FFFFFF" w:val="clear"/>
        </w:rPr>
        <w:t xml:space="preserve">, </w:t>
      </w:r>
      <w:r>
        <w:rPr>
          <w:rFonts w:cs="Calibri" w:cstheme="minorHAnsi"/>
          <w:bCs/>
          <w:sz w:val="24"/>
          <w:szCs w:val="24"/>
          <w:shd w:fill="FFFFFF" w:val="clear"/>
        </w:rPr>
        <w:t>la réglementation sur l'exportation.</w:t>
      </w:r>
    </w:p>
    <w:p>
      <w:pPr>
        <w:pStyle w:val="Normal"/>
        <w:numPr>
          <w:ilvl w:val="0"/>
          <w:numId w:val="0"/>
        </w:numPr>
        <w:shd w:val="clear" w:color="auto" w:fill="FFFFFF"/>
        <w:spacing w:lineRule="atLeast" w:line="347" w:before="210" w:after="210"/>
        <w:outlineLvl w:val="0"/>
        <w:rPr>
          <w:rFonts w:cs="Calibri" w:cstheme="minorHAnsi"/>
          <w:sz w:val="24"/>
          <w:szCs w:val="24"/>
          <w:highlight w:val="white"/>
        </w:rPr>
      </w:pPr>
      <w:r>
        <w:rPr>
          <w:rFonts w:cs="Calibri" w:cstheme="minorHAnsi"/>
          <w:sz w:val="24"/>
          <w:szCs w:val="24"/>
          <w:shd w:fill="FFFFFF" w:val="clear"/>
        </w:rPr>
      </w:r>
    </w:p>
    <w:p>
      <w:pPr>
        <w:pStyle w:val="Normal"/>
        <w:numPr>
          <w:ilvl w:val="0"/>
          <w:numId w:val="0"/>
        </w:numPr>
        <w:shd w:val="clear" w:color="auto" w:fill="FFFFFF"/>
        <w:spacing w:lineRule="atLeast" w:line="347" w:before="210" w:after="210"/>
        <w:outlineLvl w:val="0"/>
        <w:rPr>
          <w:rFonts w:cs="Calibri" w:cstheme="minorHAnsi"/>
          <w:sz w:val="24"/>
          <w:szCs w:val="24"/>
          <w:highlight w:val="white"/>
        </w:rPr>
      </w:pPr>
      <w:r>
        <w:rPr>
          <w:rFonts w:cs="Calibri" w:cstheme="minorHAnsi"/>
          <w:sz w:val="24"/>
          <w:szCs w:val="24"/>
          <w:shd w:fill="FFFFFF" w:val="clear"/>
        </w:rPr>
        <w:t xml:space="preserve"> </w:t>
      </w:r>
    </w:p>
    <w:p>
      <w:pPr>
        <w:pStyle w:val="Normal"/>
        <w:numPr>
          <w:ilvl w:val="0"/>
          <w:numId w:val="0"/>
        </w:numPr>
        <w:shd w:val="clear" w:color="auto" w:fill="FFFFFF"/>
        <w:spacing w:lineRule="atLeast" w:line="347" w:before="210" w:after="210"/>
        <w:outlineLvl w:val="0"/>
        <w:rPr>
          <w:rFonts w:cs="Calibri" w:cstheme="minorHAnsi"/>
          <w:bCs/>
          <w:sz w:val="24"/>
          <w:szCs w:val="24"/>
          <w:highlight w:val="white"/>
        </w:rPr>
      </w:pPr>
      <w:r>
        <w:rPr>
          <w:rFonts w:cs="Calibri" w:cstheme="minorHAnsi"/>
          <w:bCs/>
          <w:sz w:val="24"/>
          <w:szCs w:val="24"/>
          <w:shd w:fill="FFFFFF" w:val="clear"/>
        </w:rPr>
      </w:r>
    </w:p>
    <w:p>
      <w:pPr>
        <w:pStyle w:val="ListParagraph"/>
        <w:numPr>
          <w:ilvl w:val="0"/>
          <w:numId w:val="0"/>
        </w:numPr>
        <w:shd w:val="clear" w:color="auto" w:fill="FFFFFF"/>
        <w:spacing w:lineRule="atLeast" w:line="347" w:before="210" w:after="210"/>
        <w:ind w:left="2835" w:hanging="0"/>
        <w:contextualSpacing/>
        <w:outlineLvl w:val="0"/>
        <w:rPr>
          <w:rFonts w:cs="Calibri" w:cstheme="minorHAnsi"/>
          <w:bCs/>
          <w:sz w:val="24"/>
          <w:szCs w:val="24"/>
          <w:highlight w:val="white"/>
        </w:rPr>
      </w:pPr>
      <w:r>
        <w:rPr>
          <w:rFonts w:cs="Calibri" w:cstheme="minorHAnsi"/>
          <w:bCs/>
          <w:sz w:val="24"/>
          <w:szCs w:val="24"/>
          <w:shd w:fill="FFFFFF" w:val="clear"/>
        </w:rPr>
      </w:r>
    </w:p>
    <w:p>
      <w:pPr>
        <w:pStyle w:val="Normal"/>
        <w:numPr>
          <w:ilvl w:val="0"/>
          <w:numId w:val="0"/>
        </w:numPr>
        <w:shd w:val="clear" w:color="auto" w:fill="FFFFFF"/>
        <w:spacing w:lineRule="atLeast" w:line="347" w:before="210" w:after="210"/>
        <w:outlineLvl w:val="0"/>
        <w:rPr>
          <w:rFonts w:eastAsia="Times New Roman" w:cs="Calibri" w:cstheme="minorHAnsi"/>
          <w:bCs/>
          <w:kern w:val="2"/>
          <w:sz w:val="24"/>
          <w:szCs w:val="24"/>
          <w:lang w:eastAsia="fr-FR"/>
        </w:rPr>
      </w:pPr>
      <w:r>
        <w:rPr>
          <w:rFonts w:cs="Calibri" w:cstheme="minorHAnsi"/>
          <w:bCs/>
          <w:sz w:val="24"/>
          <w:szCs w:val="24"/>
          <w:shd w:fill="FFFFFF" w:val="clear"/>
        </w:rPr>
        <w:tab/>
        <w:tab/>
        <w:tab/>
        <w:tab/>
      </w:r>
    </w:p>
    <w:p>
      <w:pPr>
        <w:pStyle w:val="Normal"/>
        <w:numPr>
          <w:ilvl w:val="0"/>
          <w:numId w:val="0"/>
        </w:numPr>
        <w:shd w:val="clear" w:color="auto" w:fill="FFFFFF"/>
        <w:spacing w:lineRule="atLeast" w:line="347" w:before="210" w:after="210"/>
        <w:outlineLvl w:val="0"/>
        <w:rPr>
          <w:rFonts w:eastAsia="Times New Roman" w:cs="Calibri" w:cstheme="minorHAnsi"/>
          <w:bCs/>
          <w:kern w:val="2"/>
          <w:sz w:val="24"/>
          <w:szCs w:val="24"/>
          <w:lang w:eastAsia="fr-FR"/>
        </w:rPr>
      </w:pPr>
      <w:r>
        <w:rPr>
          <w:rFonts w:eastAsia="Times New Roman" w:cs="Calibri" w:cstheme="minorHAnsi"/>
          <w:bCs/>
          <w:kern w:val="2"/>
          <w:sz w:val="24"/>
          <w:szCs w:val="24"/>
          <w:lang w:eastAsia="fr-FR"/>
        </w:rPr>
        <w:tab/>
        <w:tab/>
        <w:tab/>
      </w:r>
    </w:p>
    <w:p>
      <w:pPr>
        <w:pStyle w:val="Normal"/>
        <w:rPr>
          <w:rFonts w:cs="Calibri" w:cstheme="minorHAnsi"/>
          <w:sz w:val="24"/>
          <w:szCs w:val="24"/>
        </w:rPr>
      </w:pPr>
      <w:r>
        <w:rPr>
          <w:rFonts w:cs="Calibri" w:cstheme="minorHAnsi"/>
          <w:sz w:val="24"/>
          <w:szCs w:val="24"/>
        </w:rPr>
      </w:r>
    </w:p>
    <w:p>
      <w:pPr>
        <w:pStyle w:val="Normal"/>
        <w:spacing w:before="0" w:after="160"/>
        <w:rPr>
          <w:rFonts w:cs="Calibri" w:cstheme="minorHAnsi"/>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2835" w:hanging="360"/>
      </w:pPr>
      <w:rPr>
        <w:rFonts w:ascii="Verdana" w:hAnsi="Verdana" w:cs="Verdana" w:hint="default"/>
      </w:rPr>
    </w:lvl>
    <w:lvl w:ilvl="1">
      <w:start w:val="1"/>
      <w:numFmt w:val="bullet"/>
      <w:lvlText w:val="o"/>
      <w:lvlJc w:val="left"/>
      <w:pPr>
        <w:tabs>
          <w:tab w:val="num" w:pos="0"/>
        </w:tabs>
        <w:ind w:left="3555" w:hanging="360"/>
      </w:pPr>
      <w:rPr>
        <w:rFonts w:ascii="Courier New" w:hAnsi="Courier New" w:cs="Courier New" w:hint="default"/>
      </w:rPr>
    </w:lvl>
    <w:lvl w:ilvl="2">
      <w:start w:val="1"/>
      <w:numFmt w:val="bullet"/>
      <w:lvlText w:val=""/>
      <w:lvlJc w:val="left"/>
      <w:pPr>
        <w:tabs>
          <w:tab w:val="num" w:pos="0"/>
        </w:tabs>
        <w:ind w:left="4275" w:hanging="360"/>
      </w:pPr>
      <w:rPr>
        <w:rFonts w:ascii="Wingdings" w:hAnsi="Wingdings" w:cs="Wingdings" w:hint="default"/>
      </w:rPr>
    </w:lvl>
    <w:lvl w:ilvl="3">
      <w:start w:val="1"/>
      <w:numFmt w:val="bullet"/>
      <w:lvlText w:val=""/>
      <w:lvlJc w:val="left"/>
      <w:pPr>
        <w:tabs>
          <w:tab w:val="num" w:pos="0"/>
        </w:tabs>
        <w:ind w:left="4995" w:hanging="360"/>
      </w:pPr>
      <w:rPr>
        <w:rFonts w:ascii="Symbol" w:hAnsi="Symbol" w:cs="Symbol" w:hint="default"/>
      </w:rPr>
    </w:lvl>
    <w:lvl w:ilvl="4">
      <w:start w:val="1"/>
      <w:numFmt w:val="bullet"/>
      <w:lvlText w:val="o"/>
      <w:lvlJc w:val="left"/>
      <w:pPr>
        <w:tabs>
          <w:tab w:val="num" w:pos="0"/>
        </w:tabs>
        <w:ind w:left="5715" w:hanging="360"/>
      </w:pPr>
      <w:rPr>
        <w:rFonts w:ascii="Courier New" w:hAnsi="Courier New" w:cs="Courier New" w:hint="default"/>
      </w:rPr>
    </w:lvl>
    <w:lvl w:ilvl="5">
      <w:start w:val="1"/>
      <w:numFmt w:val="bullet"/>
      <w:lvlText w:val=""/>
      <w:lvlJc w:val="left"/>
      <w:pPr>
        <w:tabs>
          <w:tab w:val="num" w:pos="0"/>
        </w:tabs>
        <w:ind w:left="6435" w:hanging="360"/>
      </w:pPr>
      <w:rPr>
        <w:rFonts w:ascii="Wingdings" w:hAnsi="Wingdings" w:cs="Wingdings" w:hint="default"/>
      </w:rPr>
    </w:lvl>
    <w:lvl w:ilvl="6">
      <w:start w:val="1"/>
      <w:numFmt w:val="bullet"/>
      <w:lvlText w:val=""/>
      <w:lvlJc w:val="left"/>
      <w:pPr>
        <w:tabs>
          <w:tab w:val="num" w:pos="0"/>
        </w:tabs>
        <w:ind w:left="7155" w:hanging="360"/>
      </w:pPr>
      <w:rPr>
        <w:rFonts w:ascii="Symbol" w:hAnsi="Symbol" w:cs="Symbol" w:hint="default"/>
      </w:rPr>
    </w:lvl>
    <w:lvl w:ilvl="7">
      <w:start w:val="1"/>
      <w:numFmt w:val="bullet"/>
      <w:lvlText w:val="o"/>
      <w:lvlJc w:val="left"/>
      <w:pPr>
        <w:tabs>
          <w:tab w:val="num" w:pos="0"/>
        </w:tabs>
        <w:ind w:left="7875" w:hanging="360"/>
      </w:pPr>
      <w:rPr>
        <w:rFonts w:ascii="Courier New" w:hAnsi="Courier New" w:cs="Courier New" w:hint="default"/>
      </w:rPr>
    </w:lvl>
    <w:lvl w:ilvl="8">
      <w:start w:val="1"/>
      <w:numFmt w:val="bullet"/>
      <w:lvlText w:val=""/>
      <w:lvlJc w:val="left"/>
      <w:pPr>
        <w:tabs>
          <w:tab w:val="num" w:pos="0"/>
        </w:tabs>
        <w:ind w:left="8595"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link w:val="Titre1Car"/>
    <w:uiPriority w:val="9"/>
    <w:qFormat/>
    <w:rsid w:val="00d55acc"/>
    <w:pPr>
      <w:spacing w:lineRule="auto" w:line="240" w:beforeAutospacing="1" w:afterAutospacing="1"/>
      <w:outlineLvl w:val="0"/>
    </w:pPr>
    <w:rPr>
      <w:rFonts w:ascii="Times New Roman" w:hAnsi="Times New Roman" w:eastAsia="Times New Roman" w:cs="Times New Roman"/>
      <w:b/>
      <w:bCs/>
      <w:kern w:val="2"/>
      <w:sz w:val="48"/>
      <w:szCs w:val="48"/>
      <w:lang w:eastAsia="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d55acc"/>
    <w:rPr>
      <w:rFonts w:ascii="Times New Roman" w:hAnsi="Times New Roman" w:eastAsia="Times New Roman" w:cs="Times New Roman"/>
      <w:b/>
      <w:bCs/>
      <w:kern w:val="2"/>
      <w:sz w:val="48"/>
      <w:szCs w:val="48"/>
      <w:lang w:eastAsia="fr-FR"/>
    </w:rPr>
  </w:style>
  <w:style w:type="character" w:styleId="LienInternet">
    <w:name w:val="Lien Internet"/>
    <w:basedOn w:val="DefaultParagraphFont"/>
    <w:uiPriority w:val="99"/>
    <w:semiHidden/>
    <w:unhideWhenUsed/>
    <w:rsid w:val="0046750d"/>
    <w:rPr>
      <w:color w:val="0000FF"/>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070f0"/>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imevideo.com/help?nodeId=202095490&amp;view-type=content-only"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LibreOffice/6.4.7.2$Linux_X86_64 LibreOffice_project/40$Build-2</Application>
  <Pages>2</Pages>
  <Words>320</Words>
  <Characters>1829</Characters>
  <CharactersWithSpaces>2145</CharactersWithSpaces>
  <Paragraphs>18</Paragraphs>
  <Company>Crédit Agricole Assurance - Pacifica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2022-10-13T12:08:00Z</dcterms:created>
  <dc:creator>dany.abdulmalak</dc:creator>
  <dc:description/>
  <dc:language>fr-FR</dc:language>
  <cp:lastModifiedBy/>
  <dcterms:modified xsi:type="dcterms:W3CDTF">2022-10-21T23:42:33Z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Crédit Agricole Assurance - Pacifica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