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asciiTheme="minorAscii" w:cstheme="minorAscii" w:eastAsiaTheme="minorAscii" w:hAnsiTheme="minorAscii"/>
          <w:b w:val="false"/>
          <w:b w:val="false"/>
          <w:bCs w:val="false"/>
          <w:i w:val="false"/>
          <w:i w:val="false"/>
          <w:iCs w:val="false"/>
          <w:sz w:val="24"/>
          <w:szCs w:val="24"/>
          <w:u w:val="none"/>
        </w:rPr>
      </w:pPr>
      <w:r>
        <w:rPr>
          <w:rFonts w:eastAsia="Calibri" w:cs="Calibri" w:cstheme="minorAscii" w:eastAsiaTheme="minorAscii"/>
          <w:b w:val="false"/>
          <w:bCs w:val="false"/>
          <w:i w:val="false"/>
          <w:iCs w:val="false"/>
          <w:sz w:val="24"/>
          <w:szCs w:val="24"/>
          <w:u w:val="none"/>
        </w:rPr>
        <w:t>Rapport individuel de la semaine du 10 et du 17 Octobre.</w:t>
      </w:r>
    </w:p>
    <w:p>
      <w:pPr>
        <w:pStyle w:val="Normal"/>
        <w:rPr>
          <w:rFonts w:ascii="Calibri" w:hAnsi="Calibri" w:eastAsia="Calibri" w:cs="Calibri" w:asciiTheme="minorAscii" w:cstheme="minorAscii" w:eastAsiaTheme="minorAscii" w:hAnsiTheme="minorAscii"/>
          <w:b w:val="false"/>
          <w:b w:val="false"/>
          <w:bCs w:val="false"/>
          <w:i w:val="false"/>
          <w:i w:val="false"/>
          <w:iCs w:val="false"/>
          <w:sz w:val="24"/>
          <w:szCs w:val="24"/>
          <w:u w:val="none"/>
        </w:rPr>
      </w:pPr>
      <w:r>
        <w:rPr>
          <w:rFonts w:eastAsia="Calibri" w:cs="Calibri" w:cstheme="minorAscii" w:eastAsiaTheme="minorAscii"/>
          <w:b w:val="false"/>
          <w:bCs w:val="false"/>
          <w:i w:val="false"/>
          <w:iCs w:val="false"/>
          <w:sz w:val="24"/>
          <w:szCs w:val="24"/>
          <w:u w:val="none"/>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i w:val="false"/>
          <w:i w:val="false"/>
          <w:iCs w:val="false"/>
          <w:sz w:val="24"/>
          <w:szCs w:val="24"/>
          <w:u w:val="none"/>
        </w:rPr>
      </w:pPr>
      <w:r>
        <w:rPr>
          <w:rFonts w:eastAsia="Calibri" w:cs="Calibri" w:cstheme="minorAscii" w:eastAsiaTheme="minorAscii"/>
          <w:b w:val="false"/>
          <w:bCs w:val="false"/>
          <w:i w:val="false"/>
          <w:iCs w:val="false"/>
          <w:sz w:val="24"/>
          <w:szCs w:val="24"/>
          <w:u w:val="none"/>
        </w:rPr>
        <w:t>N’étant plus manager, c’est Chrinovic qui a dû prendre ce rôle durant ces deux semaines.</w:t>
      </w:r>
      <w:r>
        <w:rPr/>
        <w:br/>
      </w:r>
      <w:r>
        <w:rPr>
          <w:rFonts w:eastAsia="Calibri" w:cs="Calibri" w:cstheme="minorAscii" w:eastAsiaTheme="minorAscii"/>
          <w:b w:val="false"/>
          <w:bCs w:val="false"/>
          <w:i w:val="false"/>
          <w:iCs w:val="false"/>
          <w:sz w:val="24"/>
          <w:szCs w:val="24"/>
          <w:u w:val="none"/>
        </w:rPr>
        <w:t>Durant cette quinzaine, j’ai analysé les conditions juridiques du site IMDb. J’ai également grâce au rapport de mes camarades rédig</w:t>
      </w:r>
      <w:r>
        <w:rPr>
          <w:rFonts w:eastAsia="Calibri" w:cs="Calibri" w:cstheme="minorAscii" w:eastAsiaTheme="minorAscii"/>
          <w:b w:val="false"/>
          <w:bCs w:val="false"/>
          <w:i w:val="false"/>
          <w:iCs w:val="false"/>
          <w:sz w:val="24"/>
          <w:szCs w:val="24"/>
          <w:u w:val="none"/>
        </w:rPr>
        <w:t>é</w:t>
      </w:r>
      <w:r>
        <w:rPr>
          <w:rFonts w:eastAsia="Calibri" w:cs="Calibri" w:cstheme="minorAscii" w:eastAsiaTheme="minorAscii"/>
          <w:b w:val="false"/>
          <w:bCs w:val="false"/>
          <w:i w:val="false"/>
          <w:iCs w:val="false"/>
          <w:sz w:val="24"/>
          <w:szCs w:val="24"/>
          <w:u w:val="none"/>
        </w:rPr>
        <w:t xml:space="preserve"> un résumé de ces conditions.</w:t>
      </w:r>
      <w:r>
        <w:rPr>
          <w:rFonts w:eastAsia="Calibri" w:cs="Calibri" w:cstheme="minorAscii" w:eastAsiaTheme="minorAscii"/>
          <w:b w:val="false"/>
          <w:bCs w:val="false"/>
          <w:i w:val="false"/>
          <w:iCs w:val="false"/>
          <w:sz w:val="24"/>
          <w:szCs w:val="24"/>
        </w:rPr>
        <w:t xml:space="preserve"> </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4D5156"/>
          <w:sz w:val="24"/>
          <w:szCs w:val="24"/>
          <w:u w:val="none"/>
          <w:lang w:val="fr-FR"/>
        </w:rPr>
      </w:pPr>
      <w:r>
        <w:rPr>
          <w:rFonts w:eastAsia="Calibri" w:cs="Calibri" w:cstheme="minorAscii" w:eastAsiaTheme="minorAscii"/>
          <w:b w:val="false"/>
          <w:bCs w:val="false"/>
          <w:i w:val="false"/>
          <w:iCs w:val="false"/>
          <w:sz w:val="24"/>
          <w:szCs w:val="24"/>
          <w:u w:val="none"/>
        </w:rPr>
        <w:t>A la fin de cette tâche, j’ai créé deux utilisateurs fictifs dotés d’attributs et de caractéristiques sociales et psychologiques représentant des potentiels utilisateurs du sites (personas). Cette tâche ne m’a pas pris beaucoup de temps car nous devions déjà en crée</w:t>
      </w:r>
      <w:r>
        <w:rPr>
          <w:rFonts w:eastAsia="Calibri" w:cs="Calibri" w:cstheme="minorAscii" w:eastAsiaTheme="minorAscii"/>
          <w:b w:val="false"/>
          <w:bCs w:val="false"/>
          <w:i w:val="false"/>
          <w:iCs w:val="false"/>
          <w:sz w:val="24"/>
          <w:szCs w:val="24"/>
          <w:u w:val="none"/>
        </w:rPr>
        <w:t>r</w:t>
      </w:r>
      <w:r>
        <w:rPr>
          <w:rFonts w:eastAsia="Calibri" w:cs="Calibri" w:cstheme="minorAscii" w:eastAsiaTheme="minorAscii"/>
          <w:b w:val="false"/>
          <w:bCs w:val="false"/>
          <w:i w:val="false"/>
          <w:iCs w:val="false"/>
          <w:sz w:val="24"/>
          <w:szCs w:val="24"/>
          <w:u w:val="none"/>
        </w:rPr>
        <w:t xml:space="preserve"> l’an passé pour une SAE, ce qui fait que j’ai l’habitude et le manque d’idée ne s’est pas ressenti.</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1</Pages>
  <Words>111</Words>
  <Characters>565</Characters>
  <CharactersWithSpaces>674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2022-10-23T20:39:13Z</dcterms:created>
  <dc:creator>dany 1</dc:creator>
  <dc:description/>
  <dc:language>fr-FR</dc:language>
  <cp:lastModifiedBy/>
  <dcterms:modified xsi:type="dcterms:W3CDTF">2022-10-23T23:04:03Z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