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lang w:val="en-US" w:eastAsia="zh-CN"/>
        </w:rPr>
      </w:pPr>
      <w:r>
        <w:rPr>
          <w:rFonts w:hint="eastAsia"/>
          <w:lang w:val="en-US" w:eastAsia="zh-CN"/>
        </w:rPr>
        <w:t>第一章 蓝牙篇</w:t>
      </w:r>
    </w:p>
    <w:p>
      <w:pPr>
        <w:pStyle w:val="3"/>
        <w:rPr>
          <w:rFonts w:hint="eastAsia"/>
          <w:lang w:val="en-US" w:eastAsia="zh-CN"/>
        </w:rPr>
      </w:pPr>
      <w:r>
        <w:rPr>
          <w:rFonts w:hint="eastAsia"/>
          <w:lang w:val="en-US" w:eastAsia="zh-CN"/>
        </w:rPr>
        <w:t>一、蓝牙简介</w:t>
      </w:r>
    </w:p>
    <w:p>
      <w:pPr>
        <w:rPr>
          <w:rFonts w:hint="eastAsia"/>
          <w:lang w:eastAsia="zh-CN"/>
        </w:rPr>
      </w:pPr>
      <w:r>
        <w:t>蓝牙</w:t>
      </w:r>
      <w:r>
        <w:rPr>
          <w:rFonts w:hint="eastAsia"/>
          <w:lang w:val="en-US" w:eastAsia="zh-CN"/>
        </w:rPr>
        <w:t>(</w:t>
      </w:r>
      <w:r>
        <w:t>Bluetooth</w:t>
      </w:r>
      <w:r>
        <w:rPr>
          <w:rFonts w:hint="eastAsia"/>
          <w:lang w:val="en-US" w:eastAsia="zh-CN"/>
        </w:rPr>
        <w:t>)</w:t>
      </w:r>
      <w:r>
        <w:t>技术创立于1994年，通过无线电传输方式交换数据，蓝牙无线技术被视为数据电缆的无线替代方式</w:t>
      </w:r>
      <w:r>
        <w:rPr>
          <w:rFonts w:hint="eastAsia"/>
          <w:lang w:eastAsia="zh-CN"/>
        </w:rPr>
        <w:t>，是一种短距离的无线通信技术标准。</w:t>
      </w:r>
    </w:p>
    <w:p>
      <w:pPr>
        <w:rPr>
          <w:rFonts w:hint="eastAsia"/>
          <w:lang w:val="en-US" w:eastAsia="zh-CN"/>
        </w:rPr>
      </w:pPr>
      <w:r>
        <w:rPr>
          <w:rFonts w:hint="eastAsia"/>
          <w:lang w:val="en-US" w:eastAsia="zh-CN"/>
        </w:rPr>
        <w:t>蓝牙协议规范遵循开放系统互连参考模型(OSI/RM),从低到高地定义了蓝牙协议堆栈的各个层次。Bluetooth SIG(</w:t>
      </w:r>
      <w:r>
        <w:t>蓝牙技术联盟</w:t>
      </w:r>
      <w:r>
        <w:rPr>
          <w:rFonts w:hint="eastAsia"/>
          <w:lang w:val="en-US" w:eastAsia="zh-CN"/>
        </w:rPr>
        <w:t>,蓝牙特别兴趣小组)所定义的蓝牙技术规范的目的是使符合该规范的各种应用之间能够实现互操作。互操作的远端设备需要使用相同的协议栈，不同的应用需要不同的协议栈。但是，</w:t>
      </w:r>
      <w:r>
        <w:rPr>
          <w:rFonts w:hint="eastAsia"/>
          <w:color w:val="FF0000"/>
          <w:lang w:val="en-US" w:eastAsia="zh-CN"/>
        </w:rPr>
        <w:t>所有的应用都要使用蓝牙技术规范中的数据链路层和</w:t>
      </w:r>
      <w:r>
        <w:rPr>
          <w:rFonts w:hint="eastAsia"/>
          <w:color w:val="FF0000"/>
          <w:lang w:val="en-US" w:eastAsia="zh-CN"/>
        </w:rPr>
        <w:fldChar w:fldCharType="begin"/>
      </w:r>
      <w:r>
        <w:rPr>
          <w:rFonts w:hint="eastAsia"/>
          <w:color w:val="FF0000"/>
          <w:lang w:val="en-US" w:eastAsia="zh-CN"/>
        </w:rPr>
        <w:instrText xml:space="preserve"> HYPERLINK "http://blog.chinaunix.net/attachment/201109/10/21411227_1315648467d7q7.jpg" \t "http://blog.chinaunix.net/_blank" </w:instrText>
      </w:r>
      <w:r>
        <w:rPr>
          <w:rFonts w:hint="eastAsia"/>
          <w:color w:val="FF0000"/>
          <w:lang w:val="en-US" w:eastAsia="zh-CN"/>
        </w:rPr>
        <w:fldChar w:fldCharType="separate"/>
      </w:r>
      <w:r>
        <w:rPr>
          <w:rFonts w:hint="eastAsia"/>
          <w:color w:val="FF0000"/>
          <w:lang w:val="en-US" w:eastAsia="zh-CN"/>
        </w:rPr>
        <w:fldChar w:fldCharType="end"/>
      </w:r>
      <w:r>
        <w:rPr>
          <w:rFonts w:hint="eastAsia"/>
          <w:color w:val="FF0000"/>
          <w:lang w:val="en-US" w:eastAsia="zh-CN"/>
        </w:rPr>
        <w:fldChar w:fldCharType="begin"/>
      </w:r>
      <w:r>
        <w:rPr>
          <w:rFonts w:hint="eastAsia"/>
          <w:color w:val="FF0000"/>
          <w:lang w:val="en-US" w:eastAsia="zh-CN"/>
        </w:rPr>
        <w:instrText xml:space="preserve"> HYPERLINK "http://blog.chinaunix.net/attachment/201109/10/21411227_1315648617874f.jpg" \t "http://blog.chinaunix.net/_blank" </w:instrText>
      </w:r>
      <w:r>
        <w:rPr>
          <w:rFonts w:hint="eastAsia"/>
          <w:color w:val="FF0000"/>
          <w:lang w:val="en-US" w:eastAsia="zh-CN"/>
        </w:rPr>
        <w:fldChar w:fldCharType="separate"/>
      </w:r>
      <w:r>
        <w:rPr>
          <w:rFonts w:hint="eastAsia"/>
          <w:color w:val="FF0000"/>
          <w:lang w:val="en-US" w:eastAsia="zh-CN"/>
        </w:rPr>
        <w:fldChar w:fldCharType="end"/>
      </w:r>
      <w:r>
        <w:rPr>
          <w:rFonts w:hint="eastAsia"/>
          <w:color w:val="FF0000"/>
          <w:lang w:val="en-US" w:eastAsia="zh-CN"/>
        </w:rPr>
        <w:t>物理层</w:t>
      </w:r>
      <w:r>
        <w:rPr>
          <w:rFonts w:hint="eastAsia"/>
          <w:lang w:val="en-US" w:eastAsia="zh-CN"/>
        </w:rPr>
        <w:t>。</w:t>
      </w:r>
    </w:p>
    <w:p>
      <w:pPr/>
      <w:r>
        <w:rPr>
          <w:rFonts w:hint="eastAsia"/>
          <w:lang w:val="en-US" w:eastAsia="zh-CN"/>
        </w:rPr>
        <w:t xml:space="preserve">蓝牙协议体系中的协议按SIG的关注程度分为四层： </w:t>
      </w:r>
    </w:p>
    <w:p>
      <w:pPr/>
      <w:r>
        <w:rPr>
          <w:rFonts w:hint="eastAsia"/>
          <w:lang w:val="en-US" w:eastAsia="zh-CN"/>
        </w:rPr>
        <w:t xml:space="preserve">(1) </w:t>
      </w:r>
      <w:r>
        <w:rPr>
          <w:rFonts w:hint="eastAsia"/>
          <w:lang w:val="en-US"/>
        </w:rPr>
        <w:t>核心协议：BaseBand</w:t>
      </w:r>
      <w:r>
        <w:rPr>
          <w:rFonts w:hint="eastAsia"/>
          <w:lang w:val="en-US" w:eastAsia="zh-CN"/>
        </w:rPr>
        <w:t>(基带协议)</w:t>
      </w:r>
      <w:r>
        <w:rPr>
          <w:rFonts w:hint="eastAsia"/>
          <w:lang w:val="en-US"/>
        </w:rPr>
        <w:t>、LMP</w:t>
      </w:r>
      <w:r>
        <w:rPr>
          <w:rFonts w:hint="eastAsia"/>
          <w:lang w:val="en-US" w:eastAsia="zh-CN"/>
        </w:rPr>
        <w:t>(连接管理协议)</w:t>
      </w:r>
      <w:r>
        <w:rPr>
          <w:rFonts w:hint="eastAsia"/>
          <w:lang w:val="en-US"/>
        </w:rPr>
        <w:t>、L2CAP</w:t>
      </w:r>
      <w:r>
        <w:rPr>
          <w:rFonts w:hint="eastAsia"/>
          <w:lang w:val="en-US" w:eastAsia="zh-CN"/>
        </w:rPr>
        <w:t>(逻辑链路控制和适配协议)</w:t>
      </w:r>
      <w:r>
        <w:rPr>
          <w:rFonts w:hint="eastAsia"/>
          <w:lang w:val="en-US"/>
        </w:rPr>
        <w:t>、SDP</w:t>
      </w:r>
      <w:r>
        <w:rPr>
          <w:rFonts w:hint="eastAsia"/>
          <w:lang w:val="en-US" w:eastAsia="zh-CN"/>
        </w:rPr>
        <w:t>(服务发现协议)</w:t>
      </w:r>
      <w:r>
        <w:rPr>
          <w:rFonts w:hint="eastAsia"/>
          <w:lang w:val="en-US"/>
        </w:rPr>
        <w:t xml:space="preserve">； </w:t>
      </w:r>
    </w:p>
    <w:p>
      <w:pPr/>
      <w:r>
        <w:rPr>
          <w:rFonts w:hint="eastAsia"/>
          <w:lang w:val="en-US" w:eastAsia="zh-CN"/>
        </w:rPr>
        <w:t xml:space="preserve">(2) </w:t>
      </w:r>
      <w:r>
        <w:rPr>
          <w:rFonts w:hint="eastAsia"/>
          <w:lang w:val="en-US"/>
        </w:rPr>
        <w:t xml:space="preserve">电缆替代协议：RFCOMM； </w:t>
      </w:r>
    </w:p>
    <w:p>
      <w:pPr/>
      <w:r>
        <w:rPr>
          <w:rFonts w:hint="eastAsia"/>
          <w:lang w:val="en-US" w:eastAsia="zh-CN"/>
        </w:rPr>
        <w:t xml:space="preserve">(3) </w:t>
      </w:r>
      <w:r>
        <w:rPr>
          <w:rFonts w:hint="eastAsia"/>
          <w:lang w:val="en-US"/>
        </w:rPr>
        <w:t xml:space="preserve">电话传送控制协议：TCS-Binary、AT命令集； </w:t>
      </w:r>
    </w:p>
    <w:p>
      <w:pPr>
        <w:rPr>
          <w:rFonts w:hint="eastAsia"/>
          <w:lang w:val="en-US"/>
        </w:rPr>
      </w:pPr>
      <w:r>
        <w:rPr>
          <w:rFonts w:hint="eastAsia"/>
          <w:lang w:val="en-US" w:eastAsia="zh-CN"/>
        </w:rPr>
        <w:t xml:space="preserve">(4) </w:t>
      </w:r>
      <w:r>
        <w:rPr>
          <w:rFonts w:hint="eastAsia"/>
          <w:lang w:val="en-US"/>
        </w:rPr>
        <w:t>选用协议：PPP、UDP/TCP/IP、OBEX、WAP、vCard、vCal、IrMC、WAE。</w:t>
      </w:r>
    </w:p>
    <w:p>
      <w:pPr>
        <w:rPr>
          <w:rFonts w:hint="eastAsia"/>
          <w:lang w:val="en-US" w:eastAsia="zh-CN"/>
        </w:rPr>
      </w:pPr>
      <w:r>
        <w:rPr>
          <w:rFonts w:hint="eastAsia"/>
          <w:lang w:val="en-US" w:eastAsia="zh-CN"/>
        </w:rPr>
        <w:t>这四层协议中最重要的是核心协议。基带协议和链路控制层一起确保微微网(</w:t>
      </w:r>
      <w:r>
        <w:t>每个独立的同步蓝牙网络</w:t>
      </w:r>
      <w:r>
        <w:rPr>
          <w:rFonts w:hint="eastAsia"/>
          <w:lang w:val="en-US" w:eastAsia="zh-CN"/>
        </w:rPr>
        <w:t>)内</w:t>
      </w:r>
      <w:r>
        <w:rPr>
          <w:rFonts w:hint="eastAsia"/>
          <w:lang w:val="en-US"/>
        </w:rPr>
        <w:t>各蓝牙设备单元之间由射频构成的物理连接</w:t>
      </w:r>
      <w:r>
        <w:rPr>
          <w:rFonts w:hint="eastAsia"/>
          <w:lang w:val="en-US" w:eastAsia="zh-CN"/>
        </w:rPr>
        <w:t>；连接管理协议</w:t>
      </w:r>
      <w:r>
        <w:rPr>
          <w:rFonts w:hint="eastAsia"/>
          <w:lang w:val="en-US"/>
        </w:rPr>
        <w:t>负责各蓝牙设备间连接的建立</w:t>
      </w:r>
      <w:r>
        <w:rPr>
          <w:rFonts w:hint="eastAsia"/>
          <w:lang w:val="en-US" w:eastAsia="zh-CN"/>
        </w:rPr>
        <w:t>；逻辑链路控制和适配</w:t>
      </w:r>
      <w:r>
        <w:rPr>
          <w:rFonts w:hint="eastAsia"/>
          <w:lang w:val="en-US"/>
        </w:rPr>
        <w:t>协议是基带的上层协议，</w:t>
      </w:r>
      <w:r>
        <w:rPr>
          <w:rFonts w:hint="eastAsia"/>
          <w:lang w:val="en-US" w:eastAsia="zh-CN"/>
        </w:rPr>
        <w:t>属于数据链路层，是一个为高层传输和应用层协议屏蔽基带协议的适配协议，</w:t>
      </w:r>
      <w:r>
        <w:rPr>
          <w:rFonts w:hint="eastAsia"/>
          <w:lang w:val="en-US"/>
        </w:rPr>
        <w:t>可以认为它与LMP并行工作，它们的区别在于，当业务数据不经过LMP时，L2CAP为上层提供服务</w:t>
      </w:r>
      <w:r>
        <w:rPr>
          <w:rFonts w:hint="eastAsia"/>
          <w:lang w:val="en-US" w:eastAsia="zh-CN"/>
        </w:rPr>
        <w:t>；发现服务协议</w:t>
      </w:r>
      <w:r>
        <w:rPr>
          <w:rFonts w:hint="eastAsia"/>
          <w:lang w:val="en-US"/>
        </w:rPr>
        <w:t>可以查询到设备信息和服务类型，从而在蓝牙设备间建立相应的连接。</w:t>
      </w:r>
    </w:p>
    <w:p>
      <w:pPr>
        <w:rPr>
          <w:rFonts w:hint="eastAsia" w:ascii="宋体" w:hAnsi="宋体" w:eastAsia="宋体" w:cs="宋体"/>
          <w:color w:val="333333"/>
          <w:kern w:val="0"/>
          <w:sz w:val="24"/>
          <w:szCs w:val="24"/>
          <w:lang w:val="en-US" w:eastAsia="zh-CN"/>
        </w:rPr>
      </w:pPr>
    </w:p>
    <w:p>
      <w:pPr>
        <w:rPr>
          <w:rFonts w:hint="eastAsia"/>
          <w:lang w:val="en-US" w:eastAsia="zh-CN"/>
        </w:rPr>
      </w:pPr>
      <w:r>
        <w:rPr>
          <w:rFonts w:hint="eastAsia"/>
          <w:lang w:val="en-US" w:eastAsia="zh-CN"/>
        </w:rPr>
        <w:drawing>
          <wp:inline distT="0" distB="0" distL="114300" distR="114300">
            <wp:extent cx="5271135" cy="3868420"/>
            <wp:effectExtent l="0" t="0" r="5715" b="1778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5271135" cy="3868420"/>
                    </a:xfrm>
                    <a:prstGeom prst="rect">
                      <a:avLst/>
                    </a:prstGeom>
                  </pic:spPr>
                </pic:pic>
              </a:graphicData>
            </a:graphic>
          </wp:inline>
        </w:drawing>
      </w:r>
    </w:p>
    <w:p>
      <w:pPr>
        <w:rPr>
          <w:rFonts w:hint="eastAsia"/>
          <w:lang w:val="en-US" w:eastAsia="zh-CN"/>
        </w:rPr>
      </w:pPr>
      <w:r>
        <w:rPr>
          <w:rFonts w:hint="eastAsia"/>
          <w:lang w:eastAsia="zh-CN"/>
        </w:rPr>
        <w:t>也可以把</w:t>
      </w:r>
      <w:r>
        <w:t>整个蓝牙协议体系结构</w:t>
      </w:r>
      <w:r>
        <w:rPr>
          <w:rFonts w:hint="eastAsia"/>
          <w:lang w:eastAsia="zh-CN"/>
        </w:rPr>
        <w:t>看作</w:t>
      </w:r>
      <w:r>
        <w:t>底层硬件模块、中间协议层和高端应用层三大部分。</w:t>
      </w: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二、蓝牙</w:t>
      </w:r>
    </w:p>
    <w:p>
      <w:pPr>
        <w:jc w:val="left"/>
        <w:rPr>
          <w:rFonts w:hint="eastAsia"/>
          <w:lang w:val="en-US" w:eastAsia="zh-CN"/>
        </w:rPr>
      </w:pPr>
      <w:r>
        <w:rPr>
          <w:rFonts w:hint="eastAsia"/>
          <w:lang w:val="en-US" w:eastAsia="zh-CN"/>
        </w:rPr>
        <w:t>1. 蓝牙的打开和关闭</w:t>
      </w:r>
    </w:p>
    <w:p>
      <w:pPr>
        <w:jc w:val="left"/>
      </w:pPr>
      <w:r>
        <w:drawing>
          <wp:inline distT="0" distB="0" distL="114300" distR="114300">
            <wp:extent cx="5273040" cy="14478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1447800"/>
                    </a:xfrm>
                    <a:prstGeom prst="rect">
                      <a:avLst/>
                    </a:prstGeom>
                    <a:noFill/>
                    <a:ln w="9525">
                      <a:noFill/>
                      <a:miter/>
                    </a:ln>
                  </pic:spPr>
                </pic:pic>
              </a:graphicData>
            </a:graphic>
          </wp:inline>
        </w:drawing>
      </w:r>
    </w:p>
    <w:p>
      <w:pPr>
        <w:jc w:val="left"/>
      </w:pPr>
      <w:r>
        <w:drawing>
          <wp:inline distT="0" distB="0" distL="114300" distR="114300">
            <wp:extent cx="5270500" cy="2125980"/>
            <wp:effectExtent l="0" t="0" r="635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0500" cy="2125980"/>
                    </a:xfrm>
                    <a:prstGeom prst="rect">
                      <a:avLst/>
                    </a:prstGeom>
                    <a:noFill/>
                    <a:ln w="9525">
                      <a:noFill/>
                      <a:miter/>
                    </a:ln>
                  </pic:spPr>
                </pic:pic>
              </a:graphicData>
            </a:graphic>
          </wp:inline>
        </w:drawing>
      </w:r>
    </w:p>
    <w:p>
      <w:pPr>
        <w:jc w:val="left"/>
        <w:rPr>
          <w:rFonts w:hint="eastAsia"/>
          <w:lang w:eastAsia="zh-CN"/>
        </w:rPr>
      </w:pPr>
      <w:r>
        <w:rPr>
          <w:rFonts w:hint="eastAsia"/>
          <w:lang w:eastAsia="zh-CN"/>
        </w:rPr>
        <w:t>第二种：静默方式，没有像第一种方式的提示</w:t>
      </w:r>
    </w:p>
    <w:p>
      <w:pPr>
        <w:jc w:val="left"/>
      </w:pPr>
      <w:r>
        <w:drawing>
          <wp:inline distT="0" distB="0" distL="114300" distR="114300">
            <wp:extent cx="5273675" cy="2419350"/>
            <wp:effectExtent l="0" t="0" r="317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3675" cy="2419350"/>
                    </a:xfrm>
                    <a:prstGeom prst="rect">
                      <a:avLst/>
                    </a:prstGeom>
                    <a:noFill/>
                    <a:ln w="9525">
                      <a:noFill/>
                      <a:miter/>
                    </a:ln>
                  </pic:spPr>
                </pic:pic>
              </a:graphicData>
            </a:graphic>
          </wp:inline>
        </w:drawing>
      </w:r>
    </w:p>
    <w:p>
      <w:pPr>
        <w:numPr>
          <w:ilvl w:val="0"/>
          <w:numId w:val="1"/>
        </w:numPr>
        <w:jc w:val="left"/>
        <w:rPr>
          <w:rFonts w:hint="eastAsia"/>
          <w:lang w:val="en-US" w:eastAsia="zh-CN"/>
        </w:rPr>
      </w:pPr>
      <w:r>
        <w:rPr>
          <w:rFonts w:hint="eastAsia"/>
          <w:lang w:val="en-US" w:eastAsia="zh-CN"/>
        </w:rPr>
        <w:t>搜索</w:t>
      </w:r>
    </w:p>
    <w:p>
      <w:pPr>
        <w:numPr>
          <w:numId w:val="0"/>
        </w:numPr>
        <w:jc w:val="left"/>
        <w:rPr>
          <w:rFonts w:hint="eastAsia"/>
          <w:lang w:val="en-US" w:eastAsia="zh-CN"/>
        </w:rPr>
      </w:pPr>
      <w:r>
        <w:rPr>
          <w:rFonts w:hint="eastAsia"/>
          <w:lang w:val="en-US" w:eastAsia="zh-CN"/>
        </w:rPr>
        <w:t>分为主动和被动搜索</w:t>
      </w:r>
      <w:bookmarkStart w:id="0" w:name="_GoBack"/>
      <w:bookmarkEnd w:id="0"/>
    </w:p>
    <w:p>
      <w:pPr>
        <w:numPr>
          <w:ilvl w:val="0"/>
          <w:numId w:val="1"/>
        </w:numPr>
        <w:jc w:val="left"/>
        <w:rPr>
          <w:rFonts w:hint="eastAsia"/>
          <w:lang w:val="en-US" w:eastAsia="zh-CN"/>
        </w:rPr>
      </w:pP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Calibri Light">
    <w:altName w:val="Calibri"/>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Heiti SC Light">
    <w:altName w:val="黑体"/>
    <w:panose1 w:val="02000000000000000000"/>
    <w:charset w:val="50"/>
    <w:family w:val="auto"/>
    <w:pitch w:val="default"/>
    <w:sig w:usb0="00000000" w:usb1="00000000" w:usb2="00000010" w:usb3="00000000" w:csb0="003E0000"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Microsoft YaHei UI">
    <w:altName w:val="宋体"/>
    <w:panose1 w:val="020B0503020204020204"/>
    <w:charset w:val="86"/>
    <w:family w:val="swiss"/>
    <w:pitch w:val="default"/>
    <w:sig w:usb0="00000000" w:usb1="00000000" w:usb2="00000016" w:usb3="00000000" w:csb0="0004001F" w:csb1="00000000"/>
  </w:font>
  <w:font w:name="Î¢ÈíÑÅºÚ">
    <w:altName w:val="宋体"/>
    <w:panose1 w:val="00000000000000000000"/>
    <w:charset w:val="86"/>
    <w:family w:val="auto"/>
    <w:pitch w:val="default"/>
    <w:sig w:usb0="00000000" w:usb1="00000000" w:usb2="00000000" w:usb3="00000000" w:csb0="00040000" w:csb1="00000000"/>
  </w:font>
  <w:font w:name="Consolas">
    <w:panose1 w:val="020B0609020204030204"/>
    <w:charset w:val="00"/>
    <w:family w:val="modern"/>
    <w:pitch w:val="default"/>
    <w:sig w:usb0="E10002FF" w:usb1="4000FCFF" w:usb2="00000009" w:usb3="00000000" w:csb0="6000019F" w:csb1="DFD70000"/>
  </w:font>
  <w:font w:name="华康Sc黑体W4-A(P)">
    <w:panose1 w:val="020B0500000000000000"/>
    <w:charset w:val="86"/>
    <w:family w:val="auto"/>
    <w:pitch w:val="default"/>
    <w:sig w:usb0="80000287" w:usb1="28477CF8" w:usb2="00000010" w:usb3="00000000" w:csb0="001E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Verdana">
    <w:panose1 w:val="020B0604030504040204"/>
    <w:charset w:val="00"/>
    <w:family w:val="swiss"/>
    <w:pitch w:val="default"/>
    <w:sig w:usb0="A10006FF" w:usb1="4000205B" w:usb2="00000010"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Arial Unicode MS">
    <w:altName w:val="Arial"/>
    <w:panose1 w:val="00000000000000000000"/>
    <w:charset w:val="00"/>
    <w:family w:val="auto"/>
    <w:pitch w:val="default"/>
    <w:sig w:usb0="0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akkal Majalla">
    <w:panose1 w:val="02000000000000000000"/>
    <w:charset w:val="00"/>
    <w:family w:val="auto"/>
    <w:pitch w:val="default"/>
    <w:sig w:usb0="A000207F" w:usb1="C000204B"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Palatino Linotype">
    <w:panose1 w:val="02040502050505030304"/>
    <w:charset w:val="00"/>
    <w:family w:val="auto"/>
    <w:pitch w:val="default"/>
    <w:sig w:usb0="E0000287" w:usb1="40000013" w:usb2="00000000" w:usb3="00000000" w:csb0="2000019F" w:csb1="00000000"/>
  </w:font>
  <w:font w:name="MoolBoran">
    <w:panose1 w:val="020B0100010101010101"/>
    <w:charset w:val="00"/>
    <w:family w:val="auto"/>
    <w:pitch w:val="default"/>
    <w:sig w:usb0="8000000F" w:usb1="0000204A" w:usb2="0001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BatangChe">
    <w:panose1 w:val="02030609000101010101"/>
    <w:charset w:val="81"/>
    <w:family w:val="auto"/>
    <w:pitch w:val="default"/>
    <w:sig w:usb0="B00002AF" w:usb1="69D77CFB" w:usb2="00000030" w:usb3="00000000" w:csb0="4008009F" w:csb1="DFD70000"/>
  </w:font>
  <w:font w:name="Arial unicde MS">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8072342">
    <w:nsid w:val="57810196"/>
    <w:multiLevelType w:val="singleLevel"/>
    <w:tmpl w:val="57810196"/>
    <w:lvl w:ilvl="0" w:tentative="1">
      <w:start w:val="2"/>
      <w:numFmt w:val="decimal"/>
      <w:suff w:val="space"/>
      <w:lvlText w:val="%1."/>
      <w:lvlJc w:val="left"/>
    </w:lvl>
  </w:abstractNum>
  <w:num w:numId="1">
    <w:abstractNumId w:val="14680723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903"/>
    <w:rsid w:val="00D26C25"/>
    <w:rsid w:val="00FF2FED"/>
    <w:rsid w:val="01F859CE"/>
    <w:rsid w:val="04F03C45"/>
    <w:rsid w:val="081056AD"/>
    <w:rsid w:val="0CC27873"/>
    <w:rsid w:val="0DF74E17"/>
    <w:rsid w:val="10ED609B"/>
    <w:rsid w:val="110642B7"/>
    <w:rsid w:val="14AA360F"/>
    <w:rsid w:val="161F68D6"/>
    <w:rsid w:val="19456E8F"/>
    <w:rsid w:val="1E3F7A74"/>
    <w:rsid w:val="21332293"/>
    <w:rsid w:val="23226787"/>
    <w:rsid w:val="247975E0"/>
    <w:rsid w:val="262207F3"/>
    <w:rsid w:val="272F6DD0"/>
    <w:rsid w:val="2C631143"/>
    <w:rsid w:val="2C9924C6"/>
    <w:rsid w:val="2CCB2255"/>
    <w:rsid w:val="2E19201E"/>
    <w:rsid w:val="304E213B"/>
    <w:rsid w:val="308C67B6"/>
    <w:rsid w:val="31875956"/>
    <w:rsid w:val="32376C78"/>
    <w:rsid w:val="3362545B"/>
    <w:rsid w:val="33776FF5"/>
    <w:rsid w:val="341233DB"/>
    <w:rsid w:val="359A2685"/>
    <w:rsid w:val="37DA5174"/>
    <w:rsid w:val="391D71BB"/>
    <w:rsid w:val="3A0F5155"/>
    <w:rsid w:val="3A56687F"/>
    <w:rsid w:val="3AC23D88"/>
    <w:rsid w:val="408F42B1"/>
    <w:rsid w:val="456B1476"/>
    <w:rsid w:val="4AF4312C"/>
    <w:rsid w:val="4B2758B0"/>
    <w:rsid w:val="4C395274"/>
    <w:rsid w:val="51656B15"/>
    <w:rsid w:val="522C69B4"/>
    <w:rsid w:val="528003F9"/>
    <w:rsid w:val="55F31543"/>
    <w:rsid w:val="5E5C4DF7"/>
    <w:rsid w:val="5F0B0170"/>
    <w:rsid w:val="60205E5A"/>
    <w:rsid w:val="60856788"/>
    <w:rsid w:val="624A5112"/>
    <w:rsid w:val="632A5D53"/>
    <w:rsid w:val="63DB454D"/>
    <w:rsid w:val="667850C8"/>
    <w:rsid w:val="6B6C3036"/>
    <w:rsid w:val="6BD66CE8"/>
    <w:rsid w:val="6C42061A"/>
    <w:rsid w:val="6EA22B9C"/>
    <w:rsid w:val="70BE7E63"/>
    <w:rsid w:val="70EA2DE6"/>
    <w:rsid w:val="743B6CFA"/>
    <w:rsid w:val="76A058A9"/>
    <w:rsid w:val="77D26F20"/>
    <w:rsid w:val="792C5599"/>
    <w:rsid w:val="7B657E93"/>
    <w:rsid w:val="7B693DA0"/>
    <w:rsid w:val="7BC96B20"/>
    <w:rsid w:val="7FF45D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left"/>
    </w:pPr>
    <w:rPr>
      <w:rFonts w:ascii="Calibri" w:hAnsi="Calibri" w:eastAsia="宋体" w:cstheme="minorBidi"/>
      <w:kern w:val="2"/>
      <w:sz w:val="32"/>
      <w:szCs w:val="22"/>
      <w:lang w:val="en-US" w:eastAsia="zh-CN"/>
    </w:rPr>
  </w:style>
  <w:style w:type="paragraph" w:styleId="2">
    <w:name w:val="heading 1"/>
    <w:basedOn w:val="1"/>
    <w:next w:val="1"/>
    <w:link w:val="10"/>
    <w:qFormat/>
    <w:uiPriority w:val="0"/>
    <w:pPr>
      <w:keepNext/>
      <w:keepLines/>
      <w:spacing w:beforeLines="0" w:beforeAutospacing="0" w:afterLines="0" w:afterAutospacing="0" w:line="240" w:lineRule="auto"/>
      <w:ind w:firstLine="0" w:firstLineChars="0"/>
      <w:jc w:val="center"/>
      <w:outlineLvl w:val="0"/>
    </w:pPr>
    <w:rPr>
      <w:rFonts w:ascii="Times New Roman" w:hAnsi="Times New Roman" w:eastAsia="宋体"/>
      <w:b/>
      <w:kern w:val="44"/>
      <w:sz w:val="44"/>
    </w:rPr>
  </w:style>
  <w:style w:type="paragraph" w:styleId="3">
    <w:name w:val="heading 2"/>
    <w:basedOn w:val="1"/>
    <w:next w:val="1"/>
    <w:link w:val="8"/>
    <w:unhideWhenUsed/>
    <w:qFormat/>
    <w:uiPriority w:val="0"/>
    <w:pPr>
      <w:keepNext/>
      <w:keepLines/>
      <w:spacing w:beforeAutospacing="0" w:afterAutospacing="0" w:line="240" w:lineRule="auto"/>
      <w:ind w:firstLine="0" w:firstLineChars="0"/>
      <w:jc w:val="left"/>
      <w:outlineLvl w:val="1"/>
    </w:pPr>
    <w:rPr>
      <w:rFonts w:ascii="宋体" w:hAnsi="宋体" w:eastAsia="宋体" w:cs="Arial"/>
      <w:b/>
      <w:bCs/>
      <w:sz w:val="32"/>
      <w:szCs w:val="28"/>
    </w:rPr>
  </w:style>
  <w:style w:type="paragraph" w:styleId="4">
    <w:name w:val="heading 3"/>
    <w:basedOn w:val="1"/>
    <w:next w:val="1"/>
    <w:link w:val="9"/>
    <w:unhideWhenUsed/>
    <w:qFormat/>
    <w:uiPriority w:val="0"/>
    <w:pPr>
      <w:keepNext/>
      <w:keepLines/>
      <w:spacing w:beforeLines="0" w:beforeAutospacing="0" w:afterLines="0" w:afterAutospacing="0" w:line="360" w:lineRule="auto"/>
      <w:ind w:firstLine="880" w:firstLineChars="200"/>
      <w:outlineLvl w:val="2"/>
    </w:pPr>
    <w:rPr>
      <w:rFonts w:eastAsia="宋体"/>
      <w:b/>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customStyle="1" w:styleId="8">
    <w:name w:val="标题 2 Char"/>
    <w:link w:val="3"/>
    <w:qFormat/>
    <w:uiPriority w:val="0"/>
    <w:rPr>
      <w:rFonts w:ascii="宋体" w:hAnsi="宋体" w:eastAsia="宋体" w:cs="Arial"/>
      <w:b/>
      <w:bCs/>
      <w:sz w:val="32"/>
      <w:szCs w:val="28"/>
    </w:rPr>
  </w:style>
  <w:style w:type="character" w:customStyle="1" w:styleId="9">
    <w:name w:val="标题 3 Char"/>
    <w:link w:val="4"/>
    <w:qFormat/>
    <w:uiPriority w:val="0"/>
    <w:rPr>
      <w:rFonts w:eastAsia="宋体"/>
      <w:b/>
      <w:sz w:val="24"/>
    </w:rPr>
  </w:style>
  <w:style w:type="character" w:customStyle="1" w:styleId="10">
    <w:name w:val="标题 1 Char"/>
    <w:link w:val="2"/>
    <w:qFormat/>
    <w:uiPriority w:val="0"/>
    <w:rPr>
      <w:rFonts w:ascii="Times New Roman" w:hAnsi="Times New Roman" w:eastAsia="宋体"/>
      <w:b/>
      <w:kern w:val="44"/>
      <w:sz w:val="30"/>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2016-07-09T13:50:32Z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