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F7DB5">
      <w:pPr>
        <w:spacing w:after="100"/>
        <w:jc w:val="center"/>
      </w:pPr>
      <w:r>
        <w:rPr>
          <w:b/>
          <w:sz w:val="36"/>
        </w:rPr>
        <w:t>Tennessee Data Center Research Project</w:t>
      </w:r>
    </w:p>
    <w:p w14:paraId="204A1B40">
      <w:pPr>
        <w:spacing w:after="240"/>
        <w:jc w:val="center"/>
      </w:pPr>
      <w:r>
        <w:rPr>
          <w:i/>
        </w:rPr>
        <w:t>Infrastructure Environmental Exposure and Community Tradeoffs</w:t>
      </w:r>
      <w:r>
        <w:rPr>
          <w:i/>
        </w:rPr>
        <w:br w:type="textWrapping"/>
      </w:r>
      <w:r>
        <w:rPr>
          <w:i/>
        </w:rPr>
        <w:t>Yuefeng Hao, Industrial and Systems Engineering, University of Tennessee Knoxville</w:t>
      </w:r>
    </w:p>
    <w:p w14:paraId="6AB61C32">
      <w:pPr>
        <w:spacing w:before="200" w:after="80"/>
      </w:pPr>
      <w:r>
        <w:rPr>
          <w:b/>
          <w:sz w:val="28"/>
        </w:rPr>
        <w:t>Project Summary</w:t>
      </w:r>
    </w:p>
    <w:p w14:paraId="00D66122">
      <w:pPr>
        <w:spacing w:after="120" w:line="259" w:lineRule="auto"/>
      </w:pPr>
      <w:r>
        <w:t>Tennessee needs a rigorous, state-specific evidence base for assessing where data centers are located, what infrastructure and community contexts surround them, and which questions can be answered credibly with available data. This one-year research project integrates an existing Tennessee facility inventory and interactive map with a reproducible spatial-analysis and exposure framework. It will produce a versioned site-level database, transparent infrastructure and receptor variables, and decision-ready case-study materials. The project will distinguish confirmed facilities from candidates, report data quality and uncertainty, and treat spatial results as associations unless the evidence supports stronger inference.</w:t>
      </w:r>
    </w:p>
    <w:p w14:paraId="0C183A16">
      <w:pPr>
        <w:spacing w:before="200" w:after="80"/>
      </w:pPr>
      <w:r>
        <w:rPr>
          <w:b/>
          <w:sz w:val="28"/>
        </w:rPr>
        <w:t>1 Background and Need</w:t>
      </w:r>
    </w:p>
    <w:p w14:paraId="1C563E51">
      <w:pPr>
        <w:spacing w:after="120" w:line="259" w:lineRule="auto"/>
      </w:pPr>
      <w:r>
        <w:t>AI and cloud-computing data centers have become a rapidly expanding form of physical infrastructure. U.S. data-center electricity use increased from 58 TWh in 2014 to 176 TWh in 2023 and could reach 325–580 TWh by 2028.1 In the Tennessee Valley Authority region, data-center demand was reported as 18 percent of industrial load in 2025 and projected to double by 2030.2 These developments create local questions about electricity, water, thermal management, continuous mechanical noise, land use, and proximity to homes and sensitive receptors.</w:t>
      </w:r>
    </w:p>
    <w:p w14:paraId="3A096C1C">
      <w:pPr>
        <w:spacing w:after="120" w:line="259" w:lineRule="auto"/>
      </w:pPr>
      <w:r>
        <w:t>The Tennessee context is immediate. Knox County has considered data-center height, setback, screening, noise, and water-study requirements.3 A proposed Memphis water-reuse project illustrates the importance of understanding cooling-water pathways and local utility conditions.4 National guidance likewise identifies siting, water needs, and long-term community well-being as urgent county-level issues.6 Yet Tennessee lacks a consistent framework that connects facility records with nearby communities, infrastructure conditions, water and thermal context, and feasible economic or property-related questions.</w:t>
      </w:r>
    </w:p>
    <w:p w14:paraId="60C4DF91">
      <w:pPr>
        <w:spacing w:before="200" w:after="80"/>
      </w:pPr>
      <w:r>
        <w:rPr>
          <w:b/>
          <w:sz w:val="28"/>
        </w:rPr>
        <w:t>2 Existing Tennessee Research Foundation</w:t>
      </w:r>
    </w:p>
    <w:p w14:paraId="1DEF5924">
      <w:pPr>
        <w:spacing w:after="120" w:line="259" w:lineRule="auto"/>
      </w:pPr>
      <w:r>
        <w:t>The proposed work begins with substantial completed groundwork. The Tennessee research inventory, checked on September 4, 2026, contains 61 Master records: 50 core data-center or interconnection records and 11 crypto-mining records. Of these records, 49 are operational, including 40 core records; 5 are proposed, 4 are under construction, 1 is expanding, and 2 are cancelled. All 61 Master records have coordinates; 42 have exact or address/site-level precision, and 41 have high location confidence. The inventory separately tracks 16 candidate sites, including 13 with mappable coordinates. The project maintains a normalized Master table, a Raw Aligned evidence table, a Candidate Sites table, a change log, an interactive map, and a documented update workflow. Unknown measurements remain blank rather than estimated; source URLs, stable facility identifiers, lifecycle status, facility type, coordinate precision, and confidence fields are preserved.</w:t>
      </w:r>
    </w:p>
    <w:p w14:paraId="64A6C0BE">
      <w:pPr>
        <w:spacing w:after="120" w:line="259" w:lineRule="auto"/>
      </w:pPr>
      <w:r>
        <w:t>The interactive map already allows users to distinguish data centers, interconnection facilities, crypto-mining sites, and candidate sites; filter records by lifecycle, operator, source confidence, verification class, and published capacity; and inspect record-level evidence. This asset demonstrates readiness, but it is not presented as a complete census. Publicly identifiable facility records can be incomplete, coordinates can vary in precision, and capacity or ownership can change. The pilot therefore begins with explicit data-quality gates rather than assuming that a map alone supports inference.</w:t>
      </w:r>
    </w:p>
    <w:p w14:paraId="00231435">
      <w:pPr>
        <w:spacing w:before="200" w:after="80"/>
      </w:pPr>
      <w:r>
        <w:rPr>
          <w:b/>
          <w:sz w:val="28"/>
        </w:rPr>
        <w:t>3 Research Objective Questions and Hypotheses</w:t>
      </w:r>
    </w:p>
    <w:p w14:paraId="307A8DFA">
      <w:pPr>
        <w:spacing w:after="120" w:line="259" w:lineRule="auto"/>
      </w:pPr>
      <w:r>
        <w:t>Objective: build a reproducible Tennessee framework that links canonical data-center sites to infrastructure, environmental, and community context; identifies what can be measured with defensible uncertainty; and prepares decision-ready case studies and future research extensions.</w:t>
      </w:r>
    </w:p>
    <w:p w14:paraId="39A36DAF">
      <w:pPr>
        <w:ind w:left="317" w:hanging="259"/>
      </w:pPr>
      <w:r>
        <w:t>RQ1. After accounting for developable land and urban or industrial context, where are operational Tennessee data centers concentrated relative to power, network, water, market, and land variables?</w:t>
      </w:r>
    </w:p>
    <w:p w14:paraId="24894A4E">
      <w:pPr>
        <w:ind w:left="317" w:hanging="259"/>
      </w:pPr>
      <w:r>
        <w:t>RQ2. Which site and parcel attributes can be documented well enough to support an exposure and vulnerability framework for local planning and future case studies?</w:t>
      </w:r>
    </w:p>
    <w:p w14:paraId="7EC2186D">
      <w:pPr>
        <w:ind w:left="317" w:hanging="259"/>
      </w:pPr>
      <w:r>
        <w:t>RQ3. Which Tennessee locations offer sufficiently complete evidence for later noise, water and thermal, property, rental, agricultural land-value, or community-tradeoff analysis?</w:t>
      </w:r>
    </w:p>
    <w:p w14:paraId="0AF83164">
      <w:pPr>
        <w:spacing w:after="120" w:line="259" w:lineRule="auto"/>
      </w:pPr>
      <w:r>
        <w:t>The primary spatial hypotheses are deliberately limited. H1 tests whether operational sites remain closer to power infrastructure after control variables. H2 tests whether sites occur more often in high-network-access environments. H3 tests whether power and network associations persist after market and urbanization controls. H4 compares site-count geography with capacity-weighted geography where capacity data are adequate. PCA, HDBSCAN, and UMAP will be exploratory tools and will not redefine the hypotheses after results are known.</w:t>
      </w:r>
    </w:p>
    <w:p w14:paraId="093756DF">
      <w:pPr>
        <w:spacing w:before="200" w:after="80"/>
      </w:pPr>
      <w:r>
        <w:rPr>
          <w:b/>
          <w:sz w:val="28"/>
        </w:rPr>
        <w:t>4 Research Design and Methods</w:t>
      </w:r>
    </w:p>
    <w:p w14:paraId="447A9469">
      <w:pPr>
        <w:spacing w:before="120" w:after="80"/>
      </w:pPr>
      <w:r>
        <w:rPr>
          <w:b/>
          <w:sz w:val="24"/>
        </w:rPr>
        <w:t>4.1 Canonical Site and Campus Data</w:t>
      </w:r>
    </w:p>
    <w:p w14:paraId="2D6DBD73">
      <w:pPr>
        <w:spacing w:after="120" w:line="259" w:lineRule="auto"/>
      </w:pPr>
      <w:r>
        <w:t>The analytical unit for point-pattern work will be the independent physical site or campus, not every facility or building record. The project will create canonical_sites and site_facility_crosswalk tables. Campus structure, address, operator, coordinates, and public evidence will guide de-duplication. Ambiguous cases will remain flagged for review instead of being forced into a merge. Operational, under-construction, proposed, expanding, cancelled, crypto-mining, and candidate records will remain separate throughout descriptive and inferential analyses.</w:t>
      </w:r>
    </w:p>
    <w:p w14:paraId="071BBF3C">
      <w:pPr>
        <w:spacing w:before="120" w:after="80"/>
      </w:pPr>
      <w:r>
        <w:rPr>
          <w:b/>
          <w:sz w:val="24"/>
        </w:rPr>
        <w:t>4.2 Availability Domains and Feature Construction</w:t>
      </w:r>
    </w:p>
    <w:p w14:paraId="04CB07F2">
      <w:pPr>
        <w:spacing w:after="120" w:line="259" w:lineRule="auto"/>
      </w:pPr>
      <w:r>
        <w:t>The study will compare observed sites with explicit Tennessee availability domains rather than uniform random points. D0 is the statewide land baseline. D1 is a developable-land baseline that excludes clearly unsuitable areas. D2 is an urban and industrial matched baseline used to test whether apparent power, network, or water relationships merely reflect urbanization. Feature tables will record source, year, units, spatial processing, and uncertainty for power, fiber, water, market, land, transportation, hazard, and nearby-receptor variables. Current infrastructure will be interpreted as current spatial context, not as proof of historical siting conditions.</w:t>
      </w:r>
    </w:p>
    <w:p w14:paraId="22C5B462">
      <w:pPr>
        <w:spacing w:before="120" w:after="80"/>
      </w:pPr>
      <w:r>
        <w:rPr>
          <w:b/>
          <w:sz w:val="24"/>
        </w:rPr>
        <w:t>4.3 Spatial Analysis and Validation</w:t>
      </w:r>
    </w:p>
    <w:p w14:paraId="1073495B">
      <w:pPr>
        <w:spacing w:after="120" w:line="259" w:lineRule="auto"/>
      </w:pPr>
      <w:r>
        <w:t>The primary analysis will use an inhomogeneous Poisson point-process model or an equivalent case-availability approximation. It will estimate associations between operational sites and infrastructure variables while accounting for market and land context. KDE, nearest-neighbor summaries, and count-versus-capacity maps will provide descriptive context but will not serve as the sole inferential evidence. Spatial cross-validation, leave-one-metro-out diagnostics, spatial block bootstrap intervals, sensitivity analysis across D0, D1, and D2, and checks for Nashville or Memphis dominance will assess stability. Residual inhomogeneous Ripley’s K or L analysis will test for unexplained clustering after covariate adjustment.</w:t>
      </w:r>
    </w:p>
    <w:p w14:paraId="511EAA55">
      <w:pPr>
        <w:spacing w:before="120" w:after="80"/>
      </w:pPr>
      <w:r>
        <w:rPr>
          <w:b/>
          <w:sz w:val="24"/>
        </w:rPr>
        <w:t>4.4 Exposure and Case Study Readiness</w:t>
      </w:r>
    </w:p>
    <w:p w14:paraId="01CB4F9F">
      <w:pPr>
        <w:spacing w:after="120" w:line="259" w:lineRule="auto"/>
      </w:pPr>
      <w:r>
        <w:t>The spatial framework will support, rather than replace, the environmental and community goals of the project. For selected case-study areas, the project will document nearby homes, schools, parks, churches, streams, public-water systems, known discharge context, and relevant local planning information. If field work or proprietary data become available, the framework can accept short-term noise measurements, water and thermal indicators, property transactions, rentals, agricultural land values, and employment context. The pilot will not claim a causal property or health effect without adequate temporal data, comparison areas, and measurement quality.</w:t>
      </w:r>
    </w:p>
    <w:p w14:paraId="7833EEA7">
      <w:pPr>
        <w:spacing w:before="200" w:after="80"/>
      </w:pPr>
      <w:r>
        <w:rPr>
          <w:b/>
          <w:sz w:val="28"/>
        </w:rPr>
        <w:t>5 Work Packages Deliverables and Quality Gates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3DC38F3D">
        <w:tc>
          <w:tcPr>
            <w:tcW w:w="3264" w:type="dxa"/>
            <w:shd w:val="clear" w:color="auto" w:fill="0D5F6B"/>
          </w:tcPr>
          <w:p w14:paraId="3C729956">
            <w:pPr>
              <w:spacing w:after="0" w:line="240" w:lineRule="auto"/>
              <w:jc w:val="left"/>
            </w:pPr>
            <w:r>
              <w:rPr>
                <w:b/>
                <w:color w:val="FFFFFF"/>
                <w:sz w:val="20"/>
              </w:rPr>
              <w:t>Work package</w:t>
            </w:r>
          </w:p>
        </w:tc>
        <w:tc>
          <w:tcPr>
            <w:tcW w:w="3264" w:type="dxa"/>
            <w:shd w:val="clear" w:color="auto" w:fill="0D5F6B"/>
          </w:tcPr>
          <w:p w14:paraId="2982D39C">
            <w:pPr>
              <w:spacing w:after="0" w:line="240" w:lineRule="auto"/>
              <w:jc w:val="left"/>
            </w:pPr>
            <w:r>
              <w:rPr>
                <w:b/>
                <w:color w:val="FFFFFF"/>
                <w:sz w:val="20"/>
              </w:rPr>
              <w:t>Activities</w:t>
            </w:r>
          </w:p>
        </w:tc>
        <w:tc>
          <w:tcPr>
            <w:tcW w:w="3264" w:type="dxa"/>
            <w:shd w:val="clear" w:color="auto" w:fill="0D5F6B"/>
          </w:tcPr>
          <w:p w14:paraId="6A619AD2">
            <w:pPr>
              <w:spacing w:after="0" w:line="240" w:lineRule="auto"/>
              <w:jc w:val="left"/>
            </w:pPr>
            <w:r>
              <w:rPr>
                <w:b/>
                <w:color w:val="FFFFFF"/>
                <w:sz w:val="20"/>
              </w:rPr>
              <w:t>Deliverable</w:t>
            </w:r>
          </w:p>
        </w:tc>
      </w:tr>
      <w:tr w14:paraId="6AA14639">
        <w:tc>
          <w:tcPr>
            <w:tcW w:w="3264" w:type="dxa"/>
          </w:tcPr>
          <w:p w14:paraId="1B813372">
            <w:pPr>
              <w:spacing w:after="0" w:line="240" w:lineRule="auto"/>
              <w:jc w:val="left"/>
            </w:pPr>
            <w:r>
              <w:rPr>
                <w:b/>
                <w:sz w:val="20"/>
              </w:rPr>
              <w:t>WP1 Data foundation</w:t>
            </w:r>
          </w:p>
        </w:tc>
        <w:tc>
          <w:tcPr>
            <w:tcW w:w="3264" w:type="dxa"/>
          </w:tcPr>
          <w:p w14:paraId="460D6C57">
            <w:pPr>
              <w:spacing w:after="0" w:line="240" w:lineRule="auto"/>
              <w:jc w:val="left"/>
            </w:pPr>
            <w:r>
              <w:rPr>
                <w:b w:val="0"/>
                <w:sz w:val="20"/>
              </w:rPr>
              <w:t>Freeze inventory snapshot; audit sources, status, coordinates, capacity, and candidate rules; create canonical sites and crosswalk.</w:t>
            </w:r>
          </w:p>
        </w:tc>
        <w:tc>
          <w:tcPr>
            <w:tcW w:w="3264" w:type="dxa"/>
          </w:tcPr>
          <w:p w14:paraId="67E2BDED">
            <w:pPr>
              <w:spacing w:after="0" w:line="240" w:lineRule="auto"/>
              <w:jc w:val="left"/>
            </w:pPr>
            <w:r>
              <w:rPr>
                <w:b w:val="0"/>
                <w:sz w:val="20"/>
              </w:rPr>
              <w:t>Versioned Tennessee inventory, data dictionary, crosswalk, and quality memorandum.</w:t>
            </w:r>
          </w:p>
        </w:tc>
      </w:tr>
      <w:tr w14:paraId="73F05C82">
        <w:tc>
          <w:tcPr>
            <w:tcW w:w="3264" w:type="dxa"/>
            <w:shd w:val="clear" w:color="auto" w:fill="EFF6F8"/>
          </w:tcPr>
          <w:p w14:paraId="74B9F864">
            <w:pPr>
              <w:spacing w:after="0" w:line="240" w:lineRule="auto"/>
              <w:jc w:val="left"/>
            </w:pPr>
            <w:r>
              <w:rPr>
                <w:b/>
                <w:sz w:val="20"/>
              </w:rPr>
              <w:t>WP2 Spatial framework</w:t>
            </w:r>
          </w:p>
        </w:tc>
        <w:tc>
          <w:tcPr>
            <w:tcW w:w="3264" w:type="dxa"/>
            <w:shd w:val="clear" w:color="auto" w:fill="EFF6F8"/>
          </w:tcPr>
          <w:p w14:paraId="3F50F8DC">
            <w:pPr>
              <w:spacing w:after="0" w:line="240" w:lineRule="auto"/>
              <w:jc w:val="left"/>
            </w:pPr>
            <w:r>
              <w:rPr>
                <w:b w:val="0"/>
                <w:sz w:val="20"/>
              </w:rPr>
              <w:t>Construct D0, D1, and D2; link infrastructure, land, market, water, and receptor features; document processing and uncertainty.</w:t>
            </w:r>
          </w:p>
        </w:tc>
        <w:tc>
          <w:tcPr>
            <w:tcW w:w="3264" w:type="dxa"/>
            <w:shd w:val="clear" w:color="auto" w:fill="EFF6F8"/>
          </w:tcPr>
          <w:p w14:paraId="233BD6C5">
            <w:pPr>
              <w:spacing w:after="0" w:line="240" w:lineRule="auto"/>
              <w:jc w:val="left"/>
            </w:pPr>
            <w:r>
              <w:rPr>
                <w:b w:val="0"/>
                <w:sz w:val="20"/>
              </w:rPr>
              <w:t>Analysis-ready feature tables and reproducible workflow.</w:t>
            </w:r>
          </w:p>
        </w:tc>
      </w:tr>
      <w:tr w14:paraId="77E56D31">
        <w:tc>
          <w:tcPr>
            <w:tcW w:w="3264" w:type="dxa"/>
          </w:tcPr>
          <w:p w14:paraId="28D9663C">
            <w:pPr>
              <w:spacing w:after="0" w:line="240" w:lineRule="auto"/>
              <w:jc w:val="left"/>
            </w:pPr>
            <w:r>
              <w:rPr>
                <w:b/>
                <w:sz w:val="20"/>
              </w:rPr>
              <w:t>WP3 Analysis and validation</w:t>
            </w:r>
          </w:p>
        </w:tc>
        <w:tc>
          <w:tcPr>
            <w:tcW w:w="3264" w:type="dxa"/>
          </w:tcPr>
          <w:p w14:paraId="39E7B6B8">
            <w:pPr>
              <w:spacing w:after="0" w:line="240" w:lineRule="auto"/>
              <w:jc w:val="left"/>
            </w:pPr>
            <w:r>
              <w:rPr>
                <w:b w:val="0"/>
                <w:sz w:val="20"/>
              </w:rPr>
              <w:t>Run descriptive maps and conditional models; conduct spatial validation, sensitivity checks, and residual clustering diagnostics.</w:t>
            </w:r>
          </w:p>
        </w:tc>
        <w:tc>
          <w:tcPr>
            <w:tcW w:w="3264" w:type="dxa"/>
          </w:tcPr>
          <w:p w14:paraId="2A0A1E8A">
            <w:pPr>
              <w:spacing w:after="0" w:line="240" w:lineRule="auto"/>
              <w:jc w:val="left"/>
            </w:pPr>
            <w:r>
              <w:rPr>
                <w:b w:val="0"/>
                <w:sz w:val="20"/>
              </w:rPr>
              <w:t>Spatial association report with limitations and non-significant results retained.</w:t>
            </w:r>
          </w:p>
        </w:tc>
      </w:tr>
      <w:tr w14:paraId="04507C59">
        <w:tc>
          <w:tcPr>
            <w:tcW w:w="3264" w:type="dxa"/>
            <w:shd w:val="clear" w:color="auto" w:fill="EFF6F8"/>
          </w:tcPr>
          <w:p w14:paraId="1C24E9AE">
            <w:pPr>
              <w:spacing w:after="0" w:line="240" w:lineRule="auto"/>
              <w:jc w:val="left"/>
            </w:pPr>
            <w:r>
              <w:rPr>
                <w:b/>
                <w:sz w:val="20"/>
              </w:rPr>
              <w:t>WP4 Case studies and translation</w:t>
            </w:r>
          </w:p>
        </w:tc>
        <w:tc>
          <w:tcPr>
            <w:tcW w:w="3264" w:type="dxa"/>
            <w:shd w:val="clear" w:color="auto" w:fill="EFF6F8"/>
          </w:tcPr>
          <w:p w14:paraId="241288F7">
            <w:pPr>
              <w:spacing w:after="0" w:line="240" w:lineRule="auto"/>
              <w:jc w:val="left"/>
            </w:pPr>
            <w:r>
              <w:rPr>
                <w:b w:val="0"/>
                <w:sz w:val="20"/>
              </w:rPr>
              <w:t>Select feasible study areas; prepare exposure and data-feasibility summaries; develop planning and stakeholder materials.</w:t>
            </w:r>
          </w:p>
        </w:tc>
        <w:tc>
          <w:tcPr>
            <w:tcW w:w="3264" w:type="dxa"/>
            <w:shd w:val="clear" w:color="auto" w:fill="EFF6F8"/>
          </w:tcPr>
          <w:p w14:paraId="2E61FD59">
            <w:pPr>
              <w:spacing w:after="0" w:line="240" w:lineRule="auto"/>
              <w:jc w:val="left"/>
            </w:pPr>
            <w:r>
              <w:rPr>
                <w:b w:val="0"/>
                <w:sz w:val="20"/>
              </w:rPr>
              <w:t>Tennessee evidence brief and case-study feasibility package.</w:t>
            </w:r>
          </w:p>
        </w:tc>
      </w:tr>
    </w:tbl>
    <w:p w14:paraId="127318EB">
      <w:pPr>
        <w:spacing w:after="120" w:line="259" w:lineRule="auto"/>
      </w:pPr>
      <w:r>
        <w:t>Quality gates: Gate A requires a reproducible site definition and audited coordinates before spatial statistics. Gate B requires documented coverage, units, and years for core infrastructure layers before feature analysis. Gate C requires adequate independent operational sites and usable spatial folds before inferential claims. Gate D applies separately to capacity, facility-type, temporal, field-measurement, and economic modules. A failed gate produces a descriptive or data-quality deliverable rather than an unsupported model result.</w:t>
      </w:r>
    </w:p>
    <w:p w14:paraId="3F415A00">
      <w:pPr>
        <w:spacing w:before="200" w:after="8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6 Project Significanc</w:t>
      </w:r>
      <w:bookmarkStart w:id="0" w:name="_GoBack"/>
      <w:bookmarkEnd w:id="0"/>
      <w:r>
        <w:rPr>
          <w:rFonts w:hint="default" w:ascii="Times New Roman Bold" w:hAnsi="Times New Roman Bold" w:cs="Times New Roman Bold"/>
          <w:b/>
          <w:bCs/>
          <w:sz w:val="28"/>
          <w:szCs w:val="28"/>
        </w:rPr>
        <w:t>e</w:t>
      </w:r>
    </w:p>
    <w:p w14:paraId="73FE299E">
      <w:pPr>
        <w:spacing w:after="120" w:line="259" w:lineRule="auto"/>
      </w:pPr>
      <w:r>
        <w:t>The project will give UT a transparent Tennessee evidence base for a national infrastructure challenge. It will strengthen communication among planners, utilities, residents, landowners, and economic-development partners by separating what the data show from what remains uncertain. It aligns with the Energy and Environment Gateway through sustainable infrastructure, sustainable environment, and engaged communities.10 The project’s lasting contribution will be a documented data architecture, a reproducible spatial workflow, and clearly stated limits on what the available evidence can establish.</w:t>
      </w:r>
    </w:p>
    <w:p w14:paraId="2A7EE657">
      <w:pPr>
        <w:spacing w:before="200" w:after="80"/>
      </w:pPr>
      <w:r>
        <w:rPr>
          <w:b/>
          <w:sz w:val="28"/>
        </w:rPr>
        <w:t>References</w:t>
      </w:r>
    </w:p>
    <w:p w14:paraId="1C188788">
      <w:pPr>
        <w:spacing w:after="40"/>
        <w:ind w:left="288" w:hanging="288"/>
      </w:pPr>
      <w:r>
        <w:rPr>
          <w:sz w:val="19"/>
        </w:rPr>
        <w:t>1. Shehabi et al. United States Data Center Energy Usage Report. Lawrence Berkeley National Laboratory, 2024.</w:t>
      </w:r>
    </w:p>
    <w:p w14:paraId="684BCEF7">
      <w:pPr>
        <w:spacing w:after="40"/>
        <w:ind w:left="288" w:hanging="288"/>
      </w:pPr>
      <w:r>
        <w:rPr>
          <w:sz w:val="19"/>
        </w:rPr>
        <w:t>2. DiGangi. TVA pursues 6.2 GW of new generation, citing data centers, population growth. Utility Dive, 2026.</w:t>
      </w:r>
    </w:p>
    <w:p w14:paraId="131F3E46">
      <w:pPr>
        <w:spacing w:after="40"/>
        <w:ind w:left="288" w:hanging="288"/>
      </w:pPr>
      <w:r>
        <w:rPr>
          <w:sz w:val="19"/>
        </w:rPr>
        <w:t>3. Morgan-Rumsey. Knox County to consider limits on data centers’ noise, looks and utilities. WVLT, 2026.</w:t>
      </w:r>
    </w:p>
    <w:p w14:paraId="6DC6844B">
      <w:pPr>
        <w:spacing w:after="40"/>
        <w:ind w:left="288" w:hanging="288"/>
      </w:pPr>
      <w:r>
        <w:rPr>
          <w:sz w:val="19"/>
        </w:rPr>
        <w:t>4. Smith. Wastewater will cool this Memphis data center. Governing, 2026.</w:t>
      </w:r>
    </w:p>
    <w:p w14:paraId="3F26D732">
      <w:pPr>
        <w:spacing w:after="40"/>
        <w:ind w:left="288" w:hanging="288"/>
      </w:pPr>
      <w:r>
        <w:rPr>
          <w:sz w:val="19"/>
        </w:rPr>
        <w:t>5. Tennessee Department of Agriculture. Tennessee Drought Monitor, accessed 2026.</w:t>
      </w:r>
    </w:p>
    <w:p w14:paraId="6812C603">
      <w:pPr>
        <w:spacing w:after="40"/>
        <w:ind w:left="288" w:hanging="288"/>
      </w:pPr>
      <w:r>
        <w:rPr>
          <w:sz w:val="19"/>
        </w:rPr>
        <w:t>6. National Association of Counties. County Considerations Data Centers, 2026.</w:t>
      </w:r>
    </w:p>
    <w:p w14:paraId="651F089C">
      <w:pPr>
        <w:spacing w:after="40"/>
        <w:ind w:left="288" w:hanging="288"/>
      </w:pPr>
      <w:r>
        <w:rPr>
          <w:sz w:val="19"/>
        </w:rPr>
        <w:t>7. Yáñez-Barnuevo. Communities are raising noise pollution concerns about data centers. EESI, 2026.</w:t>
      </w:r>
    </w:p>
    <w:p w14:paraId="599B3E66">
      <w:pPr>
        <w:spacing w:after="40"/>
        <w:ind w:left="288" w:hanging="288"/>
      </w:pPr>
      <w:r>
        <w:rPr>
          <w:sz w:val="19"/>
        </w:rPr>
        <w:t>8. Mytton. Data centre water consumption. npj Clean Water, 2021.</w:t>
      </w:r>
    </w:p>
    <w:p w14:paraId="5A6132C5">
      <w:pPr>
        <w:spacing w:after="40"/>
        <w:ind w:left="288" w:hanging="288"/>
      </w:pPr>
      <w:r>
        <w:rPr>
          <w:sz w:val="19"/>
        </w:rPr>
        <w:t>9. USDA Economic Research Service. Farmland Value, updated 2026.</w:t>
      </w:r>
    </w:p>
    <w:p w14:paraId="141DF1D6">
      <w:pPr>
        <w:spacing w:after="40"/>
        <w:ind w:left="288" w:hanging="288"/>
      </w:pPr>
      <w:r>
        <w:rPr>
          <w:sz w:val="19"/>
        </w:rPr>
        <w:t>10. Institute for Energy and Environment, University of Tennessee. Research Areas, accessed 2026.</w:t>
      </w:r>
    </w:p>
    <w:sectPr>
      <w:footerReference r:id="rId5" w:type="default"/>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23FA5">
    <w:pPr>
      <w:pStyle w:val="24"/>
      <w:jc w:val="center"/>
    </w:pPr>
    <w:r>
      <w:t>Tennessee Data Center Research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DED6E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Chris</cp:lastModifiedBy>
  <dcterms:modified xsi:type="dcterms:W3CDTF">2026-09-04T14:59:33Z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696D59C6DE8BEDA915159B6A04EB1B80_42</vt:lpwstr>
  </property>
</Properties>
</file>