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Backlog Overzicht (Uitgebreid Template)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r>
              <w:t>ID</w:t>
            </w:r>
          </w:p>
        </w:tc>
        <w:tc>
          <w:tcPr>
            <w:tcW w:type="dxa" w:w="455"/>
          </w:tcPr>
          <w:p>
            <w:r>
              <w:t>Titel</w:t>
            </w:r>
          </w:p>
        </w:tc>
        <w:tc>
          <w:tcPr>
            <w:tcW w:type="dxa" w:w="455"/>
          </w:tcPr>
          <w:p>
            <w:r>
              <w:t>Categorie</w:t>
            </w:r>
          </w:p>
        </w:tc>
        <w:tc>
          <w:tcPr>
            <w:tcW w:type="dxa" w:w="455"/>
          </w:tcPr>
          <w:p>
            <w:r>
              <w:t>Doel / Motivatie</w:t>
            </w:r>
          </w:p>
        </w:tc>
        <w:tc>
          <w:tcPr>
            <w:tcW w:type="dxa" w:w="455"/>
          </w:tcPr>
          <w:p>
            <w:r>
              <w:t>Beschrijving</w:t>
            </w:r>
          </w:p>
        </w:tc>
        <w:tc>
          <w:tcPr>
            <w:tcW w:type="dxa" w:w="455"/>
          </w:tcPr>
          <w:p>
            <w:r>
              <w:t>Afhankelijkheden</w:t>
            </w:r>
          </w:p>
        </w:tc>
        <w:tc>
          <w:tcPr>
            <w:tcW w:type="dxa" w:w="455"/>
          </w:tcPr>
          <w:p>
            <w:r>
              <w:t>Implementatiestappen</w:t>
            </w:r>
          </w:p>
        </w:tc>
        <w:tc>
          <w:tcPr>
            <w:tcW w:type="dxa" w:w="455"/>
          </w:tcPr>
          <w:p>
            <w:r>
              <w:t>Acceptatiecriteria</w:t>
            </w:r>
          </w:p>
        </w:tc>
        <w:tc>
          <w:tcPr>
            <w:tcW w:type="dxa" w:w="455"/>
          </w:tcPr>
          <w:p>
            <w:r>
              <w:t>Technische notities</w:t>
            </w:r>
          </w:p>
        </w:tc>
        <w:tc>
          <w:tcPr>
            <w:tcW w:type="dxa" w:w="455"/>
          </w:tcPr>
          <w:p>
            <w:r>
              <w:t>Test / Validatie</w:t>
            </w:r>
          </w:p>
        </w:tc>
        <w:tc>
          <w:tcPr>
            <w:tcW w:type="dxa" w:w="455"/>
          </w:tcPr>
          <w:p>
            <w:r>
              <w:t>Schatting</w:t>
            </w:r>
          </w:p>
        </w:tc>
        <w:tc>
          <w:tcPr>
            <w:tcW w:type="dxa" w:w="455"/>
          </w:tcPr>
          <w:p>
            <w:r>
              <w:t>Prioriteit</w:t>
            </w:r>
          </w:p>
        </w:tc>
        <w:tc>
          <w:tcPr>
            <w:tcW w:type="dxa" w:w="455"/>
          </w:tcPr>
          <w:p>
            <w:r>
              <w:t>Status</w:t>
            </w:r>
          </w:p>
        </w:tc>
        <w:tc>
          <w:tcPr>
            <w:tcW w:type="dxa" w:w="455"/>
          </w:tcPr>
          <w:p>
            <w:r>
              <w:t>Toegewezen aan</w:t>
            </w:r>
          </w:p>
        </w:tc>
        <w:tc>
          <w:tcPr>
            <w:tcW w:type="dxa" w:w="455"/>
          </w:tcPr>
          <w:p>
            <w:r>
              <w:t>Planning</w:t>
            </w:r>
          </w:p>
        </w:tc>
        <w:tc>
          <w:tcPr>
            <w:tcW w:type="dxa" w:w="455"/>
          </w:tcPr>
          <w:p>
            <w:r>
              <w:t>Bron</w:t>
            </w:r>
          </w:p>
        </w:tc>
        <w:tc>
          <w:tcPr>
            <w:tcW w:type="dxa" w:w="455"/>
          </w:tcPr>
          <w:p>
            <w:r>
              <w:t>Organisatorische context</w:t>
            </w:r>
          </w:p>
        </w:tc>
        <w:tc>
          <w:tcPr>
            <w:tcW w:type="dxa" w:w="455"/>
          </w:tcPr>
          <w:p>
            <w:r>
              <w:t>Juridische context</w:t>
            </w:r>
          </w:p>
        </w:tc>
        <w:tc>
          <w:tcPr>
            <w:tcW w:type="dxa" w:w="455"/>
          </w:tcPr>
          <w:p>
            <w:r>
              <w:t>Wettelijke basis</w:t>
            </w:r>
          </w:p>
        </w:tc>
      </w:tr>
      <w:tr>
        <w:tc>
          <w:tcPr>
            <w:tcW w:type="dxa" w:w="455"/>
          </w:tcPr>
          <w:p>
            <w:r>
              <w:t>B1</w:t>
            </w:r>
          </w:p>
        </w:tc>
        <w:tc>
          <w:tcPr>
            <w:tcW w:type="dxa" w:w="455"/>
          </w:tcPr>
          <w:p>
            <w:r>
              <w:t>Logviewer individuele woordtests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Logviewer in Tab 3 tonen voor verb. woord-tests JSONL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</w:t>
            </w:r>
          </w:p>
        </w:tc>
        <w:tc>
          <w:tcPr>
            <w:tcW w:type="dxa" w:w="455"/>
          </w:tcPr>
          <w:p>
            <w:r>
              <w:t>Downloadlog woordtest (.jsonl)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Downloadknop voor volledig JSONL-logbestand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</w:t>
            </w:r>
          </w:p>
        </w:tc>
        <w:tc>
          <w:tcPr>
            <w:tcW w:type="dxa" w:w="455"/>
          </w:tcPr>
          <w:p>
            <w:r>
              <w:t>Patchfix fix_overrides()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Convert session_state override-lijst naar string vóór UI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B4</w:t>
            </w:r>
          </w:p>
        </w:tc>
        <w:tc>
          <w:tcPr>
            <w:tcW w:type="dxa" w:w="455"/>
          </w:tcPr>
          <w:p>
            <w:r>
              <w:t>Helper ui_helpers.widget_key()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UI-helper voor unieke streamlit-widget keys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B5</w:t>
            </w:r>
          </w:p>
        </w:tc>
        <w:tc>
          <w:tcPr>
            <w:tcW w:type="dxa" w:w="455"/>
          </w:tcPr>
          <w:p>
            <w:r>
              <w:t>Field-level goedkeuring &amp; export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Per veld akkoord en exporteer akkoordbevonden definities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B6</w:t>
            </w:r>
          </w:p>
        </w:tc>
        <w:tc>
          <w:tcPr>
            <w:tcW w:type="dxa" w:w="455"/>
          </w:tcPr>
          <w:p>
            <w:r>
              <w:t>Web_lookup &amp; logging uitbreiden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Expertuitleg en wijzigingen loggen in web_lookup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B7</w:t>
            </w:r>
          </w:p>
        </w:tc>
        <w:tc>
          <w:tcPr>
            <w:tcW w:type="dxa" w:w="455"/>
          </w:tcPr>
          <w:p>
            <w:r>
              <w:t>Splitsing type term &amp; vorm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Ondersteuning voor werkwoord, gerundium, deelwoord etc.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B8</w:t>
            </w:r>
          </w:p>
        </w:tc>
        <w:tc>
          <w:tcPr>
            <w:tcW w:type="dxa" w:w="455"/>
          </w:tcPr>
          <w:p>
            <w:r>
              <w:t>Flexibele definitiebronnen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Informele bronnen opnemen met betrouwbaarheidsniveau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B9</w:t>
            </w:r>
          </w:p>
        </w:tc>
        <w:tc>
          <w:tcPr>
            <w:tcW w:type="dxa" w:w="455"/>
          </w:tcPr>
          <w:p>
            <w:r>
              <w:t>Toetsregels systematisch valideren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Alle toetsregels (STR-02 &amp; STR-04) systematisch doorlopen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B10</w:t>
            </w:r>
          </w:p>
        </w:tc>
        <w:tc>
          <w:tcPr>
            <w:tcW w:type="dxa" w:w="455"/>
          </w:tcPr>
          <w:p>
            <w:r>
              <w:t>Scripts splits/combine toetsregels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Combineer- en splits-scripts voor toetsregels.json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B11</w:t>
            </w:r>
          </w:p>
        </w:tc>
        <w:tc>
          <w:tcPr>
            <w:tcW w:type="dxa" w:w="455"/>
          </w:tcPr>
          <w:p>
            <w:r>
              <w:t>Virtuele omgeving &amp; dependencies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Setup .venv en requirements.txt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B12</w:t>
            </w:r>
          </w:p>
        </w:tc>
        <w:tc>
          <w:tcPr>
            <w:tcW w:type="dxa" w:w="455"/>
          </w:tcPr>
          <w:p>
            <w:r>
              <w:t>Tests schrijven vóór refactor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Pytest-tests voor core/ en io/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B13</w:t>
            </w:r>
          </w:p>
        </w:tc>
        <w:tc>
          <w:tcPr>
            <w:tcW w:type="dxa" w:w="455"/>
          </w:tcPr>
          <w:p>
            <w:r>
              <w:t>Projectstructuur herstructureren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app.py, core/, io/, tests/ structuur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B14</w:t>
            </w:r>
          </w:p>
        </w:tc>
        <w:tc>
          <w:tcPr>
            <w:tcW w:type="dxa" w:w="455"/>
          </w:tcPr>
          <w:p>
            <w:r>
              <w:t>Risicozones refactoren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config_loader.py &amp; log_definitie.py refactoren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B15</w:t>
            </w:r>
          </w:p>
        </w:tc>
        <w:tc>
          <w:tcPr>
            <w:tcW w:type="dxa" w:w="455"/>
          </w:tcPr>
          <w:p>
            <w:r>
              <w:t>Code-stijl &amp; static checks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Integratie Black/isort/flake8/mypy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B16</w:t>
            </w:r>
          </w:p>
        </w:tc>
        <w:tc>
          <w:tcPr>
            <w:tcW w:type="dxa" w:w="455"/>
          </w:tcPr>
          <w:p>
            <w:r>
              <w:t>Continue validatie &amp; smoke-tests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Automatiseer pytest en Streamlit smoke-tests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B17</w:t>
            </w:r>
          </w:p>
        </w:tc>
        <w:tc>
          <w:tcPr>
            <w:tcW w:type="dxa" w:w="455"/>
          </w:tcPr>
          <w:p>
            <w:r>
              <w:t>Git init &amp; branchstrategie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Repo initialiseren en branchstrategie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B18</w:t>
            </w:r>
          </w:p>
        </w:tc>
        <w:tc>
          <w:tcPr>
            <w:tcW w:type="dxa" w:w="455"/>
          </w:tcPr>
          <w:p>
            <w:r>
              <w:t>CI-pipeline (GitHub Actions)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Configureer GitHub Actions voor lint/tests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B19</w:t>
            </w:r>
          </w:p>
        </w:tc>
        <w:tc>
          <w:tcPr>
            <w:tcW w:type="dxa" w:w="455"/>
          </w:tcPr>
          <w:p>
            <w:r>
              <w:t>Optimalisatie &amp; deployment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Branches, PRs, Docker/Streamlit deployment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stappenplan_streamlit_refactoring.pdf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B20</w:t>
            </w:r>
          </w:p>
        </w:tc>
        <w:tc>
          <w:tcPr>
            <w:tcW w:type="dxa" w:w="455"/>
          </w:tcPr>
          <w:p>
            <w:r>
              <w:t>AI-toetsing definitievoorstel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Definitie toetsen en AI-verbetervoorstel genereren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Gebruikersverzoek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B21</w:t>
            </w:r>
          </w:p>
        </w:tc>
        <w:tc>
          <w:tcPr>
            <w:tcW w:type="dxa" w:w="455"/>
          </w:tcPr>
          <w:p>
            <w:r>
              <w:t>Logging ARAI06/SAM05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Logging uitbreiden voor ARAI06/SAM05 regels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B22</w:t>
            </w:r>
          </w:p>
        </w:tc>
        <w:tc>
          <w:tcPr>
            <w:tcW w:type="dxa" w:w="455"/>
          </w:tcPr>
          <w:p>
            <w:r>
              <w:t>Regex-aanscherping ARAI06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Verbeter regex-logica voor ARAI06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B23</w:t>
            </w:r>
          </w:p>
        </w:tc>
        <w:tc>
          <w:tcPr>
            <w:tcW w:type="dxa" w:w="455"/>
          </w:tcPr>
          <w:p>
            <w:r>
              <w:t>Promptversterking ARAI06/SAM05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Waarschuwingen voor verboden startconstructies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B24</w:t>
            </w:r>
          </w:p>
        </w:tc>
        <w:tc>
          <w:tcPr>
            <w:tcW w:type="dxa" w:w="455"/>
          </w:tcPr>
          <w:p>
            <w:r>
              <w:t>UI-feedback ARAI06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Regex-testinterface voor ARAI06 debugging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B25</w:t>
            </w:r>
          </w:p>
        </w:tc>
        <w:tc>
          <w:tcPr>
            <w:tcW w:type="dxa" w:w="455"/>
          </w:tcPr>
          <w:p>
            <w:r>
              <w:t>Zelflerend systeem ARAI06/SAM05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Prompts optimaliseren op basis van faaldata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B26</w:t>
            </w:r>
          </w:p>
        </w:tc>
        <w:tc>
          <w:tcPr>
            <w:tcW w:type="dxa" w:w="455"/>
          </w:tcPr>
          <w:p>
            <w:r>
              <w:t>Log-validatie module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Validatie JSON- en CSV-logbestanden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B27</w:t>
            </w:r>
          </w:p>
        </w:tc>
        <w:tc>
          <w:tcPr>
            <w:tcW w:type="dxa" w:w="455"/>
          </w:tcPr>
          <w:p>
            <w:r>
              <w:t>Beheer akkoorddefinities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Akkoordbevonden definities hergebruiken bij nieuwe aanvragen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B28</w:t>
            </w:r>
          </w:p>
        </w:tc>
        <w:tc>
          <w:tcPr>
            <w:tcW w:type="dxa" w:w="455"/>
          </w:tcPr>
          <w:p>
            <w:r>
              <w:t>Bewerkbare voorbeeldzinnen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Voorbeeldzinnen bewerkbaar maken met akkoord-knop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B29</w:t>
            </w:r>
          </w:p>
        </w:tc>
        <w:tc>
          <w:tcPr>
            <w:tcW w:type="dxa" w:w="455"/>
          </w:tcPr>
          <w:p>
            <w:r>
              <w:t>Aanpassing ESS-03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ESS-03 uitleg en patronen bijwerken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B30</w:t>
            </w:r>
          </w:p>
        </w:tc>
        <w:tc>
          <w:tcPr>
            <w:tcW w:type="dxa" w:w="455"/>
          </w:tcPr>
          <w:p>
            <w:r>
              <w:t>Validatietool toetsregels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Script voor JSON vs ai_toetser validatie en rapportage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B31</w:t>
            </w:r>
          </w:p>
        </w:tc>
        <w:tc>
          <w:tcPr>
            <w:tcW w:type="dxa" w:w="455"/>
          </w:tcPr>
          <w:p>
            <w:r>
              <w:t>Verbeterde AI-toetser + logging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Logging per regel-ID en uitlegregels integreren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B32</w:t>
            </w:r>
          </w:p>
        </w:tc>
        <w:tc>
          <w:tcPr>
            <w:tcW w:type="dxa" w:w="455"/>
          </w:tcPr>
          <w:p>
            <w:r>
              <w:t>Promptoptimalisatie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Goede/foute voorbeelden en veld-specificaties in prompts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B33</w:t>
            </w:r>
          </w:p>
        </w:tc>
        <w:tc>
          <w:tcPr>
            <w:tcW w:type="dxa" w:w="455"/>
          </w:tcPr>
          <w:p>
            <w:r>
              <w:t>Verbeterde bronvermelding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Specifieke artikelen benoemen in web_lookup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B34</w:t>
            </w:r>
          </w:p>
        </w:tc>
        <w:tc>
          <w:tcPr>
            <w:tcW w:type="dxa" w:w="455"/>
          </w:tcPr>
          <w:p>
            <w:r>
              <w:t>RAG-uitbreiding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Contextinjectie met automatische samenvatting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B35</w:t>
            </w:r>
          </w:p>
        </w:tc>
        <w:tc>
          <w:tcPr>
            <w:tcW w:type="dxa" w:w="455"/>
          </w:tcPr>
          <w:p>
            <w:r>
              <w:t>prompt_leraar module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Logs analyseren en sjablonen versterken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B36</w:t>
            </w:r>
          </w:p>
        </w:tc>
        <w:tc>
          <w:tcPr>
            <w:tcW w:type="dxa" w:w="455"/>
          </w:tcPr>
          <w:p>
            <w:r>
              <w:t>regel_aanpasser module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Detectie &amp; correctie faalstructuren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B37</w:t>
            </w:r>
          </w:p>
        </w:tc>
        <w:tc>
          <w:tcPr>
            <w:tcW w:type="dxa" w:w="455"/>
          </w:tcPr>
          <w:p>
            <w:r>
              <w:t>feedback_lus module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UI feedback-lus implementeren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B38</w:t>
            </w:r>
          </w:p>
        </w:tc>
        <w:tc>
          <w:tcPr>
            <w:tcW w:type="dxa" w:w="455"/>
          </w:tcPr>
          <w:p>
            <w:r>
              <w:t>Config &amp; lokaal model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Lokale model integratie en config-splitsing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Gedetailleerde_Planning_DefinitieAgent.docx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B39</w:t>
            </w:r>
          </w:p>
        </w:tc>
        <w:tc>
          <w:tcPr>
            <w:tcW w:type="dxa" w:w="455"/>
          </w:tcPr>
          <w:p>
            <w:r>
              <w:t>Organisatorische context beheren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UI multiselect voor organisatorische ketens (strafrechtketen, opsporing, executieketen, migratieketen, kleine strafrechtketen, Anders)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Gebruikersverzoek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B40</w:t>
            </w:r>
          </w:p>
        </w:tc>
        <w:tc>
          <w:tcPr>
            <w:tcW w:type="dxa" w:w="455"/>
          </w:tcPr>
          <w:p>
            <w:r>
              <w:t>Juridische context beheren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UI multiselect voor juridische contexten met toekomstige internationale verbijzonderingen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Gebruikersverzoek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  <w:tr>
        <w:tc>
          <w:tcPr>
            <w:tcW w:type="dxa" w:w="455"/>
          </w:tcPr>
          <w:p>
            <w:r>
              <w:t>B41</w:t>
            </w:r>
          </w:p>
        </w:tc>
        <w:tc>
          <w:tcPr>
            <w:tcW w:type="dxa" w:w="455"/>
          </w:tcPr>
          <w:p>
            <w:r>
              <w:t>Wettelijke basis beheren</w:t>
            </w:r>
          </w:p>
        </w:tc>
        <w:tc>
          <w:tcPr>
            <w:tcW w:type="dxa" w:w="455"/>
          </w:tcPr>
          <w:p>
            <w:r>
              <w:t>Feature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UI multiselect voor wettelijke basisopties (bijv. PBW) en beheer via interface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>
            <w:r>
              <w:t>Gebruikersverzoek</w:t>
            </w:r>
          </w:p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  <w:tc>
          <w:tcPr>
            <w:tcW w:type="dxa" w:w="455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