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Overzicht (Gecombineerd)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Titel</w:t>
            </w:r>
          </w:p>
        </w:tc>
        <w:tc>
          <w:tcPr>
            <w:tcW w:type="dxa" w:w="2160"/>
          </w:tcPr>
          <w:p>
            <w:r>
              <w:t>Beschrijving</w:t>
            </w:r>
          </w:p>
        </w:tc>
        <w:tc>
          <w:tcPr>
            <w:tcW w:type="dxa" w:w="2160"/>
          </w:tcPr>
          <w:p>
            <w:r>
              <w:t>Bron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Logviewer individuele woordtests</w:t>
            </w:r>
          </w:p>
        </w:tc>
        <w:tc>
          <w:tcPr>
            <w:tcW w:type="dxa" w:w="2160"/>
          </w:tcPr>
          <w:p>
            <w:r>
              <w:t>Logviewer in Tab 3 tonen voor log/verboden_woord_tests.jsonl in een uitklapbare tabel.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Downloadlog woordtest (.jsonl)</w:t>
            </w:r>
          </w:p>
        </w:tc>
        <w:tc>
          <w:tcPr>
            <w:tcW w:type="dxa" w:w="2160"/>
          </w:tcPr>
          <w:p>
            <w:r>
              <w:t>Downloadknop voor het volledige verboden_woord_tests.jsonl-logbestand onder de logviewer.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Patchfix fix_overrides()</w:t>
            </w:r>
          </w:p>
        </w:tc>
        <w:tc>
          <w:tcPr>
            <w:tcW w:type="dxa" w:w="2160"/>
          </w:tcPr>
          <w:p>
            <w:r>
              <w:t>Functie die session_state["override_verboden_woorden"] converteert van lijst naar string vóór UI-opbouw.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Helper ui_helpers.widget_key()</w:t>
            </w:r>
          </w:p>
        </w:tc>
        <w:tc>
          <w:tcPr>
            <w:tcW w:type="dxa" w:w="2160"/>
          </w:tcPr>
          <w:p>
            <w:r>
              <w:t>Module ui_helpers.py met widget_key(...) voor unieke widgetkeys.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Field-level goedkeuring &amp; export</w:t>
            </w:r>
          </w:p>
        </w:tc>
        <w:tc>
          <w:tcPr>
            <w:tcW w:type="dxa" w:w="2160"/>
          </w:tcPr>
          <w:p>
            <w:r>
              <w:t>Per veld akkoord aangeven en volledige akkoord bevonden definities exporteren.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Web_lookup &amp; logging uitbreiden</w:t>
            </w:r>
          </w:p>
        </w:tc>
        <w:tc>
          <w:tcPr>
            <w:tcW w:type="dxa" w:w="2160"/>
          </w:tcPr>
          <w:p>
            <w:r>
              <w:t>Expertuitleg en aanpassingen loggen in web_lookup-modules.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Splitsing type term &amp; vorm</w:t>
            </w:r>
          </w:p>
        </w:tc>
        <w:tc>
          <w:tcPr>
            <w:tcW w:type="dxa" w:w="2160"/>
          </w:tcPr>
          <w:p>
            <w:r>
              <w:t>Ondersteuning voor werkwoord, zelfstandig tegenwoordig deelwoord, gerundium.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B8</w:t>
            </w:r>
          </w:p>
        </w:tc>
        <w:tc>
          <w:tcPr>
            <w:tcW w:type="dxa" w:w="2160"/>
          </w:tcPr>
          <w:p>
            <w:r>
              <w:t>Flexibele definitiebronnen</w:t>
            </w:r>
          </w:p>
        </w:tc>
        <w:tc>
          <w:tcPr>
            <w:tcW w:type="dxa" w:w="2160"/>
          </w:tcPr>
          <w:p>
            <w:r>
              <w:t>Informele bronnen (biebpasje, ooggetuigen) opnemen met betrouwbaarheidsniveau.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B9</w:t>
            </w:r>
          </w:p>
        </w:tc>
        <w:tc>
          <w:tcPr>
            <w:tcW w:type="dxa" w:w="2160"/>
          </w:tcPr>
          <w:p>
            <w:r>
              <w:t>Toetsregels systematisch valideren</w:t>
            </w:r>
          </w:p>
        </w:tc>
        <w:tc>
          <w:tcPr>
            <w:tcW w:type="dxa" w:w="2160"/>
          </w:tcPr>
          <w:p>
            <w:r>
              <w:t>Alle toetsregels (focus STR-02 &amp; STR-04) systematisch doorlopen.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Scripts splits/combine toetsregels</w:t>
            </w:r>
          </w:p>
        </w:tc>
        <w:tc>
          <w:tcPr>
            <w:tcW w:type="dxa" w:w="2160"/>
          </w:tcPr>
          <w:p>
            <w:r>
              <w:t>combineer_toetsregels.py &amp; splits_toetsregels.py voor beheer.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B11</w:t>
            </w:r>
          </w:p>
        </w:tc>
        <w:tc>
          <w:tcPr>
            <w:tcW w:type="dxa" w:w="2160"/>
          </w:tcPr>
          <w:p>
            <w:r>
              <w:t>Virtuele omgeving &amp; dependencies</w:t>
            </w:r>
          </w:p>
        </w:tc>
        <w:tc>
          <w:tcPr>
            <w:tcW w:type="dxa" w:w="2160"/>
          </w:tcPr>
          <w:p>
            <w:r>
              <w:t>Setup .venv, installeer pakketten en leg dependencies vast.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B12</w:t>
            </w:r>
          </w:p>
        </w:tc>
        <w:tc>
          <w:tcPr>
            <w:tcW w:type="dxa" w:w="2160"/>
          </w:tcPr>
          <w:p>
            <w:r>
              <w:t>Tests voor refactor</w:t>
            </w:r>
          </w:p>
        </w:tc>
        <w:tc>
          <w:tcPr>
            <w:tcW w:type="dxa" w:w="2160"/>
          </w:tcPr>
          <w:p>
            <w:r>
              <w:t>Pytest-tests toevoegen voor core/ en io/ modules.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B13</w:t>
            </w:r>
          </w:p>
        </w:tc>
        <w:tc>
          <w:tcPr>
            <w:tcW w:type="dxa" w:w="2160"/>
          </w:tcPr>
          <w:p>
            <w:r>
              <w:t>Projectstructuur herstructureren</w:t>
            </w:r>
          </w:p>
        </w:tc>
        <w:tc>
          <w:tcPr>
            <w:tcW w:type="dxa" w:w="2160"/>
          </w:tcPr>
          <w:p>
            <w:r>
              <w:t>app.py, core/, io/, tests/ voor Streamlit-app.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B14</w:t>
            </w:r>
          </w:p>
        </w:tc>
        <w:tc>
          <w:tcPr>
            <w:tcW w:type="dxa" w:w="2160"/>
          </w:tcPr>
          <w:p>
            <w:r>
              <w:t>Risicozones refactoren</w:t>
            </w:r>
          </w:p>
        </w:tc>
        <w:tc>
          <w:tcPr>
            <w:tcW w:type="dxa" w:w="2160"/>
          </w:tcPr>
          <w:p>
            <w:r>
              <w:t>config_loader.py, log_definitie.py centraliseren, business logic vs I/O.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B15</w:t>
            </w:r>
          </w:p>
        </w:tc>
        <w:tc>
          <w:tcPr>
            <w:tcW w:type="dxa" w:w="2160"/>
          </w:tcPr>
          <w:p>
            <w:r>
              <w:t>Stijl &amp; static checks</w:t>
            </w:r>
          </w:p>
        </w:tc>
        <w:tc>
          <w:tcPr>
            <w:tcW w:type="dxa" w:w="2160"/>
          </w:tcPr>
          <w:p>
            <w:r>
              <w:t>Black, isort, flake8, mypy integreren.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B16</w:t>
            </w:r>
          </w:p>
        </w:tc>
        <w:tc>
          <w:tcPr>
            <w:tcW w:type="dxa" w:w="2160"/>
          </w:tcPr>
          <w:p>
            <w:r>
              <w:t>Continue validatie &amp; smoke-tests</w:t>
            </w:r>
          </w:p>
        </w:tc>
        <w:tc>
          <w:tcPr>
            <w:tcW w:type="dxa" w:w="2160"/>
          </w:tcPr>
          <w:p>
            <w:r>
              <w:t>Automatiseer pytest- en Streamlit smoke-tests.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B17</w:t>
            </w:r>
          </w:p>
        </w:tc>
        <w:tc>
          <w:tcPr>
            <w:tcW w:type="dxa" w:w="2160"/>
          </w:tcPr>
          <w:p>
            <w:r>
              <w:t>Git init &amp; branches</w:t>
            </w:r>
          </w:p>
        </w:tc>
        <w:tc>
          <w:tcPr>
            <w:tcW w:type="dxa" w:w="2160"/>
          </w:tcPr>
          <w:p>
            <w:r>
              <w:t>Repo initialiseren en branchstrategie definiëren.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B18</w:t>
            </w:r>
          </w:p>
        </w:tc>
        <w:tc>
          <w:tcPr>
            <w:tcW w:type="dxa" w:w="2160"/>
          </w:tcPr>
          <w:p>
            <w:r>
              <w:t>CI-pipeline (GitHub Actions)</w:t>
            </w:r>
          </w:p>
        </w:tc>
        <w:tc>
          <w:tcPr>
            <w:tcW w:type="dxa" w:w="2160"/>
          </w:tcPr>
          <w:p>
            <w:r>
              <w:t>.github/workflows/ci.yml voor lint, tests, smoke-test.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B19</w:t>
            </w:r>
          </w:p>
        </w:tc>
        <w:tc>
          <w:tcPr>
            <w:tcW w:type="dxa" w:w="2160"/>
          </w:tcPr>
          <w:p>
            <w:r>
              <w:t>Optimalisatie &amp; deployment</w:t>
            </w:r>
          </w:p>
        </w:tc>
        <w:tc>
          <w:tcPr>
            <w:tcW w:type="dxa" w:w="2160"/>
          </w:tcPr>
          <w:p>
            <w:r>
              <w:t>Branches, PRs, Docker/Streamlit sharing.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B20</w:t>
            </w:r>
          </w:p>
        </w:tc>
        <w:tc>
          <w:tcPr>
            <w:tcW w:type="dxa" w:w="2160"/>
          </w:tcPr>
          <w:p>
            <w:r>
              <w:t>AI-toetsing definitievoorstel</w:t>
            </w:r>
          </w:p>
        </w:tc>
        <w:tc>
          <w:tcPr>
            <w:tcW w:type="dxa" w:w="2160"/>
          </w:tcPr>
          <w:p>
            <w:r>
              <w:t>Toets aangepaste of ingelezen definitie en genereer AI-verbetervoorstel.</w:t>
            </w:r>
          </w:p>
        </w:tc>
        <w:tc>
          <w:tcPr>
            <w:tcW w:type="dxa" w:w="2160"/>
          </w:tcPr>
          <w:p>
            <w:r>
              <w:t>Gebruikersverzoek</w:t>
            </w:r>
          </w:p>
        </w:tc>
      </w:tr>
      <w:tr>
        <w:tc>
          <w:tcPr>
            <w:tcW w:type="dxa" w:w="2160"/>
          </w:tcPr>
          <w:p>
            <w:r>
              <w:t>B21</w:t>
            </w:r>
          </w:p>
        </w:tc>
        <w:tc>
          <w:tcPr>
            <w:tcW w:type="dxa" w:w="2160"/>
          </w:tcPr>
          <w:p>
            <w:r>
              <w:t>Logging ARAI06/SAM05</w:t>
            </w:r>
          </w:p>
        </w:tc>
        <w:tc>
          <w:tcPr>
            <w:tcW w:type="dxa" w:w="2160"/>
          </w:tcPr>
          <w:p>
            <w:r>
              <w:t>Logging uitbreiden voor ARAI06 en SAM05 (foutenlijst, inputwaarden, patroonmatches).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B22</w:t>
            </w:r>
          </w:p>
        </w:tc>
        <w:tc>
          <w:tcPr>
            <w:tcW w:type="dxa" w:w="2160"/>
          </w:tcPr>
          <w:p>
            <w:r>
              <w:t>Regex-aanscherping ARAI06</w:t>
            </w:r>
          </w:p>
        </w:tc>
        <w:tc>
          <w:tcPr>
            <w:tcW w:type="dxa" w:w="2160"/>
          </w:tcPr>
          <w:p>
            <w:r>
              <w:t>Verbeter regex-logica voor ARAI06 (startdetectie zonder valse positieven).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B23</w:t>
            </w:r>
          </w:p>
        </w:tc>
        <w:tc>
          <w:tcPr>
            <w:tcW w:type="dxa" w:w="2160"/>
          </w:tcPr>
          <w:p>
            <w:r>
              <w:t>Promptversterking ARAI06/SAM05</w:t>
            </w:r>
          </w:p>
        </w:tc>
        <w:tc>
          <w:tcPr>
            <w:tcW w:type="dxa" w:w="2160"/>
          </w:tcPr>
          <w:p>
            <w:r>
              <w:t>Promptwaarschuwingen tegen verboden startconstructies en cirkeldefinities.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B24</w:t>
            </w:r>
          </w:p>
        </w:tc>
        <w:tc>
          <w:tcPr>
            <w:tcW w:type="dxa" w:w="2160"/>
          </w:tcPr>
          <w:p>
            <w:r>
              <w:t>UI-feedback ARAI06</w:t>
            </w:r>
          </w:p>
        </w:tc>
        <w:tc>
          <w:tcPr>
            <w:tcW w:type="dxa" w:w="2160"/>
          </w:tcPr>
          <w:p>
            <w:r>
              <w:t>Interface voor regex-testen en debugging ARAI06.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B25</w:t>
            </w:r>
          </w:p>
        </w:tc>
        <w:tc>
          <w:tcPr>
            <w:tcW w:type="dxa" w:w="2160"/>
          </w:tcPr>
          <w:p>
            <w:r>
              <w:t>Zelflerend systeem ARAI06/SAM05</w:t>
            </w:r>
          </w:p>
        </w:tc>
        <w:tc>
          <w:tcPr>
            <w:tcW w:type="dxa" w:w="2160"/>
          </w:tcPr>
          <w:p>
            <w:r>
              <w:t>Promptoptimalisatie gebaseerd op faaldata van ARAI06/SAM05.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B26</w:t>
            </w:r>
          </w:p>
        </w:tc>
        <w:tc>
          <w:tcPr>
            <w:tcW w:type="dxa" w:w="2160"/>
          </w:tcPr>
          <w:p>
            <w:r>
              <w:t>Log-validatie module</w:t>
            </w:r>
          </w:p>
        </w:tc>
        <w:tc>
          <w:tcPr>
            <w:tcW w:type="dxa" w:w="2160"/>
          </w:tcPr>
          <w:p>
            <w:r>
              <w:t>Module log/log_validatie.py voor JSON- en CSV-logvalidatie.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B27</w:t>
            </w:r>
          </w:p>
        </w:tc>
        <w:tc>
          <w:tcPr>
            <w:tcW w:type="dxa" w:w="2160"/>
          </w:tcPr>
          <w:p>
            <w:r>
              <w:t>Beheer akkoorddefinities</w:t>
            </w:r>
          </w:p>
        </w:tc>
        <w:tc>
          <w:tcPr>
            <w:tcW w:type="dxa" w:w="2160"/>
          </w:tcPr>
          <w:p>
            <w:r>
              <w:t>Gebruik beheerlijst van akkoord bevonden definities als bron bij nieuwe aanvragen.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B28</w:t>
            </w:r>
          </w:p>
        </w:tc>
        <w:tc>
          <w:tcPr>
            <w:tcW w:type="dxa" w:w="2160"/>
          </w:tcPr>
          <w:p>
            <w:r>
              <w:t>Bewerkbare voorbeeldzinnen</w:t>
            </w:r>
          </w:p>
        </w:tc>
        <w:tc>
          <w:tcPr>
            <w:tcW w:type="dxa" w:w="2160"/>
          </w:tcPr>
          <w:p>
            <w:r>
              <w:t>Voorbeelden (korte/theoretische) bewerkbaar maken met akkoordknop.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B29</w:t>
            </w:r>
          </w:p>
        </w:tc>
        <w:tc>
          <w:tcPr>
            <w:tcW w:type="dxa" w:w="2160"/>
          </w:tcPr>
          <w:p>
            <w:r>
              <w:t>Aanpassing ESS-03</w:t>
            </w:r>
          </w:p>
        </w:tc>
        <w:tc>
          <w:tcPr>
            <w:tcW w:type="dxa" w:w="2160"/>
          </w:tcPr>
          <w:p>
            <w:r>
              <w:t>Regel en toelichting “instanties uniek onderscheidbaar” bijwerken.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