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BIZCORE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Documents de Conception — Version 2.0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20" w:after="2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MCD  ·  MLD  ·  Architecture BCaaS  ·  Modélisation Mathématique</w:t>
      </w:r>
    </w:p>
    <w:p>
      <w:pPr>
        <w:spacing w:before="20" w:after="2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Avril 2026  —  3GI Semestre 2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Partie 1 — Architecture BCaaS Corrigée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Analogie Réseau → Métier (Tableau Central)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BizCore est modélisé comme une pile de protocoles. Chaque concept réseau a son équivalent métier exact 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Concept Réseau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Concept BizCore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Implémentation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Émetteur (source)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 Consommateur de Service (CdS)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 avec role=CONSUMER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Récepteur (destination)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 Fournisseur de Service (FdS)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 avec role=PROVIDER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BusinessRule — règles du métier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Entité BusinessRule clé-valeur par Business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/ Requête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ServiceRequest — demande de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Entité ServiceRequest avec statuts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 / Accusé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— facture = confirmation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Entité Invoice 1:1 avec ServiceRequest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En-tête réseau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 métier (tenant_id, trace_id, actor_id)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X-Tenant-ID, X-Trace-ID, X-Actor-ID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Adresse 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du tenant + UUID de l'acteur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 + actorId dans le JWT et les headers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/ namespace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— isolation logique des instances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Entité Tenant + filtre JPA par tenantId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et priorité des transactions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BusinessRule avec ruleKey=SLA_* (Sprint 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TCP/UDP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synchrone / Kafka asynchrone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REST + Apache Kafka (Sprint 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chiffré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avec JWT + HTTPS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+ TLS en production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Corrélation ServiceRequest → Invoice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correlationId dans les événements Kafka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Pile Protocolaire Métier — 5 Couches BCaaS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pile BizCore suit le modèle à 5 couches défini dans le document BCaaS. Chaque couche offre des services à la couche supérieure et cache sa complexité à la couche inférieure.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800"/>
        <w:gridCol w:w="2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Responsabilités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Composants BizCore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Capabilities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Acteurs, ressources, opérations, workflow, documents,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Person, Actor, Business, ServiceRequest, Invoice, AuditLog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&amp; 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Identité, permissions, règles, SLA, session, saga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BusinessRule, AppUser, Roles JWT, @PreAuthorize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&amp; Routing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Résolution tenant, discovery, partitionnement, versioning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entity, TenantFilter, /api/v1/ prefix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&amp; Messaging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REST/Kafka, headers, retry, timeout, idempotence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REST, Kafka topics, X-Trace-ID, X-Correlation-ID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BDD, cache, bus, stockage, observabilité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PostgreSQL+PostGIS, Redis, Kafka broker, Prometheus, Liquibase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Structure du Paquet Métier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Tout échange entre un client et BizCore suit cette structure en 3 niveaux. Cette séparation permet à chaque service de traiter la donnée tout en respectant les politiques communes sans connaître toute l'application.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Niveau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Analogie réseau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Headers HTTP / Champs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de transport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En-tête Ethernet / 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 &lt;JWT&gt;, Content-Type, X-API-Version: v1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de contexte métier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En-tête applicatif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X-Tenant-ID, X-Actor-ID, X-Trace-ID, X-Correlation-ID, X-Locale, X-Policy-Level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métier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utiles (payload)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ServiceRequestDTO, InvoiceDTO, BusinessDTO, etc.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Séparation Control Plane / Data Plane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Principe fondamental du document BCaaS : configurer le système sans redéployer son cœur opérationnel.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3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Opérations BizCore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Plane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des règles, tenants, SLA, workflows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/api/v1/tenants, CRUD BusinessRules, gestion rôles, configuration SLA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Plane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Exécution des transactions métier et événements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ServiceRequest lifecycle, Invoice creation, événements Kafka, audit trail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Partie 2 — MCD Corrigé (Merise)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Nouveaux éléments vs Version 1.0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 MCD v2.0 intègre les corrections issues de l'analyse BCaaS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Entité TENANT ajoutée — isolation multitenant (couche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tenantId ajouté sur toutes les entités métier (ACTOR, BUSINESS, SERVICE_REQUEST, INVOICE,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Entité AUDIT_LOG ajoutée — traçabilité complète des transitions d'état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BUSINESS enrichi — champs typeOfInvolvedActors et requiredJobProfiles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SERVICE_REQUEST enrichi — traceId, correlationId, metadata (JSONB)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APP_USER enrichi — lien vers tenantId et actorId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Dictionnaire de Données — Entités Nouvelles ou Modifiées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TENANT (Nouveau)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000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Attribut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du 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auto-généré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l'instance métier (ex: Campharma)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Domaine métier (ex: pharmacie, immobilier)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spécifique du tenant (acteur types, règles)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actif/inactif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création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auto-généré</w:t>
            </w:r>
          </w:p>
        </w:tc>
      </w:tr>
    </w:tbl>
    <w:p>
      <w:pPr>
        <w:spacing w:before="80" w:after="4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AUDIT_LOG (Nouveau)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00"/>
        <w:gridCol w:w="22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Attribut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de l'entrée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auto-généré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concerné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TENANT, 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d'entité (SERVICE_REQUEST, INVOICE...)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 l'entité modifiée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effectuée (CREATED, ACCEPTED, FULFILLED...)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Acteur ayant effectué l'action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ACTOR,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before_state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 avant la transition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after_state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 après la transition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de traçabilité de la requête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Horodatage de l'action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auto-généré</w:t>
            </w:r>
          </w:p>
        </w:tc>
      </w:tr>
    </w:tbl>
    <w:p>
      <w:pPr>
        <w:spacing w:before="80" w:after="4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BUSINESS (Modifié — champs ajoutés)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600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Attribut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propriétaire du métier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TENANT, 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du métier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Domaine d'activité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détaillée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needed_education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Formation requise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needed_training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 requise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type_of_involved_actors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 d'acteurs impliqués (ex: Pharmacien, Patient)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required_job_profiles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Profils d'emploi requis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création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auto-généré</w:t>
            </w:r>
          </w:p>
        </w:tc>
      </w:tr>
    </w:tbl>
    <w:p>
      <w:pPr>
        <w:spacing w:before="80" w:after="4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SERVICE_REQUEST (Modifié — headers métier ajoutés)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800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Attribut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de la demande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TENANT, 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Acteur consommateur (CdS)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ACTOR, 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Acteur fournisseur (FdS)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ACTOR, 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Métier concerné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BUSINESS, 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du service demandé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de la demande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 (PENDING→ACCEPTED→IN_PROGRESS→FULFILLED/CANCELLED)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de traçabilité (header X-Trace-ID)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Corrélation avec l'Invoice (événement Kafka)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Métadonnées additionnelles spécifiques au 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création de la demande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auto-généré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fulfilled_at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réalisation du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Cardinalités Complètes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800"/>
        <w:gridCol w:w="1000"/>
        <w:gridCol w:w="2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Entité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Entité Cible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Cardinalité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enregistre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tenant peut avoir plusieurs métiers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héberge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tenant héberge plusieurs acteurs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BUSINESS_RULE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Règles configurables par tenant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possède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personne peut avoir plusieurs rôles acteurs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acteur a exactement un portfolio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portfolio référence plusieurs métiers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définit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BUSINESS_RULE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Protocole du métier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Ressources du métier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SERVICE_CATALOGUE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Catalogue de services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 (CdS)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initie des demandes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 (FdS)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exécute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réalise des services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génère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demande = une facture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a_pour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USER_ROLES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Rôles multiples par utilisateur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transition crée un log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Règles de Gestion Métier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3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Règle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Formule / 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persons.email et app_users.email uniques globalement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unique par acteur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ACTOR possède exactement un PORTFOLIO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Auto-référencement interdit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consumer_id &lt;&gt; provider_id sur SERVICE_REQUEST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Facture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SERVICE_REQUEST génère exactement une INVOICE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Ressources positives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quantity_available &gt;=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Montant positif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invoice.amount &gt;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 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requêtes filtrées par tenant_id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Devise validée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IN (XAF, XOF, NGN, KES, GHS, USD, EUR, GBP)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Transitions d'états valides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Voir automate ServiceRequest — toute transition invalide lève une erreur 400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Rôle minimal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AppUser créé avec rôle USER par défaut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systématique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transition d'état génère une entrée AuditLog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trace_id obligatoire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SERVICE_REQUEST porte un trace_id UUID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Partie 3 — MLD Corrigé (PostgreSQL)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Tables Modifiées — Résumé des Changements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Changement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 (NOUVEAU)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domain, config JSONB, is_active, created_at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audit_logs (NOUVEAU)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tenant_id, entity_type, entity_id, action, actor_id, before_state, after_state, trace_id, timestamp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 ajouté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tenants(id) NOT NULL + type_of_involved_actors TEXT[] + required_job_profiles TEXT[]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 ajouté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tenants(id) 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Inchangé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business_rules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 ajouté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tenants(id) 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service_catalogues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 ajouté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tenants(id) 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 ajouté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tenants(id) 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service_requests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 + trace_id + correlation_id + metadata ajoutés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tenant, trace_id UUID NOT NULL, correlation_id UUID NULL, metadata JSONB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 ajouté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tenants(id) 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 + actor_id ajoutés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 + FK actor (lien entre compte et acteur dans le tenant)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Script SQL — Tables Nouvelles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Script de création des nouvelles tables (à intégrer dans les migrations Liquibase) :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color w:val="1E6B3C"/>
          <w:sz w:val="22"/>
          <w:szCs w:val="22"/>
        </w:rPr>
        <w:t xml:space="preserve">Migration 012 — CREATE TABLE tenants</w:t>
      </w:r>
    </w:p>
    <w:p>
      <w:pPr>
        <w:spacing w:before="20"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tenants (</w:t>
      </w:r>
    </w:p>
    <w:p>
      <w:pPr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id UUID PRIMARY KEY,</w:t>
      </w:r>
    </w:p>
    <w:p>
      <w:pPr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name VARCHAR(255) NOT NULL UNIQUE,</w:t>
      </w:r>
    </w:p>
    <w:p>
      <w:pPr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domain VARCHAR(255) NOT NULL,</w:t>
      </w:r>
    </w:p>
    <w:p>
      <w:pPr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config JSONB,</w:t>
      </w:r>
    </w:p>
    <w:p>
      <w:pPr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is_active BOOLEAN DEFAULT TRUE,</w:t>
      </w:r>
    </w:p>
    <w:p>
      <w:pPr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TIMESTAMP</w:t>
      </w:r>
    </w:p>
    <w:p>
      <w:pPr>
        <w:spacing w:before="0"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color w:val="1E6B3C"/>
          <w:sz w:val="22"/>
          <w:szCs w:val="22"/>
        </w:rPr>
        <w:t xml:space="preserve">Migration 013 — Ajout tenant_id sur les entités</w:t>
      </w:r>
    </w:p>
    <w:p>
      <w:pPr>
        <w:spacing w:before="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ALTER TABLE businesses ADD COLUMN tenant_id UUID NOT NULL,</w:t>
      </w:r>
    </w:p>
    <w:p>
      <w:pPr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ADD CONSTRAINT fk_businesses_tenant FOREIGN KEY (tenant_id) REFERENCES tenants(id);</w:t>
      </w:r>
    </w:p>
    <w:p>
      <w:pPr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-- Répéter pour actors, business_rules, service_catalogues,</w:t>
      </w:r>
    </w:p>
    <w:p>
      <w:pPr>
        <w:spacing w:before="0"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-- resources, service_requests, invoices, app_users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color w:val="1E6B3C"/>
          <w:sz w:val="22"/>
          <w:szCs w:val="22"/>
        </w:rPr>
        <w:t xml:space="preserve">Migration 014 — Colonnes SERVICE_REQUEST (headers métier)</w:t>
      </w:r>
    </w:p>
    <w:p>
      <w:pPr>
        <w:spacing w:before="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ALTER TABLE service_requests</w:t>
      </w:r>
    </w:p>
    <w:p>
      <w:pPr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ADD COLUMN trace_id UUID NOT NULL,</w:t>
      </w:r>
    </w:p>
    <w:p>
      <w:pPr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ADD COLUMN correlation_id UUID,</w:t>
      </w:r>
    </w:p>
    <w:p>
      <w:pPr>
        <w:spacing w:before="0"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ADD COLUMN metadata JSONB;</w:t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color w:val="1E6B3C"/>
          <w:sz w:val="22"/>
          <w:szCs w:val="22"/>
        </w:rPr>
        <w:t xml:space="preserve">Migration 015 — CREATE TABLE audit_logs</w:t>
      </w:r>
    </w:p>
    <w:p>
      <w:pPr>
        <w:spacing w:before="2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audit_logs (</w:t>
      </w:r>
    </w:p>
    <w:p>
      <w:pPr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id UUID PRIMARY KEY,</w:t>
      </w:r>
    </w:p>
    <w:p>
      <w:pPr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tenant_id UUID NOT NULL REFERENCES tenants(id),</w:t>
      </w:r>
    </w:p>
    <w:p>
      <w:pPr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entity_type VARCHAR(100) NOT NULL,</w:t>
      </w:r>
    </w:p>
    <w:p>
      <w:pPr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 UUID NOT NULL,</w:t>
      </w:r>
    </w:p>
    <w:p>
      <w:pPr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action VARCHAR(100) NOT NULL,</w:t>
      </w:r>
    </w:p>
    <w:p>
      <w:pPr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actor_id UUID REFERENCES actors(id),</w:t>
      </w:r>
    </w:p>
    <w:p>
      <w:pPr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before_state VARCHAR(50),</w:t>
      </w:r>
    </w:p>
    <w:p>
      <w:pPr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after_state VARCHAR(50) NOT NULL,</w:t>
      </w:r>
    </w:p>
    <w:p>
      <w:pPr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trace_id UUID NOT NULL,</w:t>
      </w:r>
    </w:p>
    <w:p>
      <w:pPr>
        <w:spacing w:before="0"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    timestamp TIMESTAMP NOT NULL DEFAULT now()</w:t>
      </w:r>
    </w:p>
    <w:p>
      <w:pPr>
        <w:spacing w:before="0"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Index Supplémentaires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1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Colonnes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idx_businesses_tenant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Filtrage par tenant — toutes les requêtes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idx_actors_tenant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Filtrage par tenant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idx_service_requests_tenant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service_requests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tenant_id,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Requêtes courantes : demandes en cours d'un tenant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idx_service_requests_trace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service_requests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Recherche par trace pour le debugging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idx_audit_logs_entity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entity_type, entity_id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Recherche de l'historique d'une entité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idx_audit_logs_tenant_ts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tenant_id, timestamp DESC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 de l'audit trail par tenant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idx_invoices_tenant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tenant_id,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 financiers par tenant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Partie 4 — Modélisation Mathématique Corrigée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Ensembles Fondamentaux — Ajout du Tenant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modélisation v2.0 ajoute l'ensemble T des Tenants comme ensemble de premier ordre :</w:t>
      </w:r>
    </w:p>
    <w:p>
      <w:pPr>
        <w:spacing w:before="60"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T = ensemble des Tenants — identifiant : tenant_id ∈ UUID</w:t>
      </w:r>
    </w:p>
    <w:p>
      <w:pPr>
        <w:spacing w:before="60"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∀ e ∈ {A, B, SR, I, BR, S, R, Po} : e.tenantId ∈ 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Toute entité métier appartient à exactement un tenant. La propriété d'isolation se formule :</w:t>
      </w:r>
    </w:p>
    <w:p>
      <w:pPr>
        <w:spacing w:before="60"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∀ e₁, e₂ ∈ Entités : même_tenant(e₁, e₂) ⟺ e₁.tenantId = e₂.tenantId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Automate d'États — ServiceRequest (Machine à États Finie)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L'automate de ServiceRequest est un FSM (Finite State Machine) déterministe 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2000"/>
        <w:gridCol w:w="17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État courant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État suivant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Événement Kafka émis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Précondition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create(CdS, FdS, 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service-request.created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CdS ≠ FdS, B.tenantId = CdS.tenantId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accept(FdS)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service-request.accepted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Acteur = FdS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cancel(any)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service-request.cancelled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Acteur = CdS ou FdS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start(FdS)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service-request.started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Acteur = FdS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cancel(any)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service-request.cancelled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fulfill(FdS)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FULFILLED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service-request.fulfilled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Acteur = FdS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cancel(any)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service-request.cancelled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FULFILLED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invoice.created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Déclenché par l'événement Kafka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Propriété de complétude : toute tentative de transition non listée lève une erreur métier 400 Bad Request avec message explicite.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Fonction d'Isolation Tenant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 filtre multitenant est formalisé comme une restriction de domaine appliquée à chaque requête :</w:t>
      </w:r>
    </w:p>
    <w:p>
      <w:pPr>
        <w:spacing w:before="60"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query_tenant(E, t) = { e ∈ E | e.tenantId = t 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Propriété de sécurité : pour tout tenant t₁ ≠ t₂, aucun élément de query_tenant(E, t₁) n'appartient à query_tenant(E, t₂).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Métriques et KPIs Métier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Métrique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Portée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de conversion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T_conv(t, [t1,t2]) = N_fulfilled / N_requests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 tenant t, par période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moyen réalisation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T_avg = (1/N_fulfilled) × Σ(fulfilledAt - requestedAt)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 tenant, par Business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Chiffre d'affaires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CA(t, [t1,t2]) = Σ amount(i) pour Invoice PAID dans la période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 tenant 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Panier moyen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PA(t) = CA(t) / N_paid(t)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 tenant 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de paiement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T_pay = N_paid / N_invoiced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 tenant 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Croissance MoM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G_MoM = (CA(t) - CA(t-1)) / CA(t-1)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Mensuel par tenant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Partie 5 — Checklist Technique de Fin de Projet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Cette checklist est le critère objectif de complétion du projet BizCore. Elle découle directement des exigences du document BCaaS et de la liste des projets du Semestre 2.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Architecture (A)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200"/>
        <w:gridCol w:w="7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Critère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Comment vérifier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Multi-tenancy opérationnel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: deux tenants créés, aucune fuite entre eux (test automatisé)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couches documentées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Diagramme d'architecture avec mapping couche → composant Spring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 métier dans toutes les réponses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→ vérifier X-Tenant-ID, X-Trace-ID dans les headers HTTP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versionnée /api/v1/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les endpoints sous ce préfixe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opérationnel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up → app démarre en &lt; 2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hexagonale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domain/ sans import Spring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configuré (Sprint 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Topics service-request.* et invoice.* produits et consommés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Fonctionnalités (F)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500"/>
        <w:gridCol w:w="7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Critère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Comment vérifier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Provisionnement 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/api/v1/tenants/register → tenant créé et fonctionnel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12 entités paginé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/api/v1/{entité}?page=0&amp;size=10 retourne un PageResponse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 ServiceRequest complet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statuts avec transitions valides — 400 sur transition invalide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automatique sur FULFILLED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fulfill → invoice créée automatiquement dans la même transaction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descriptif complet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/api/v1/businesses/{id} retourne typeOfInvolvedActors, requiredJobProfiles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/api/v1/audit/service-requests/{id} retourne l'historique complet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bout-en-bout depuis Swagger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Scénario complet exécutable en ~10 appels depuis Swagger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Campharma (tenant démo)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Pharmacie configuré avec Pharmacien/Patient et 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Sécurité (S)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800"/>
        <w:gridCol w:w="7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Critère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Comment vérifier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avec tenant_id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Décoder le JWT → claims incluent tenant_id et actor_id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 stricte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tenant A + GET /businesses → 0 résultats du tenant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/ 403 corrects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 token → 401. Mauvais rôle → 403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force 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application.properties : spring.security.bcrypt.strength=12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Qualité (Q)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800"/>
        <w:gridCol w:w="7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Critère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Comment vérifier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Couverture tests &gt; 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mvn test jacoco:report → rapport JaCoCo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JSON structurés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 -f app.log → JSON avec trace_id, tenant_id, duration_ms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Métriques Prometheus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/actuator/prometheus → bizcore_service_requests_total, etc.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complet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endpoints documentés avec exemples request/response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opérationnel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évaluateur peut démarrer et tester en &lt; 10 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spacing w:before="400" w:after="40"/>
        <w:jc w:val="center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— Fin des Documents de Conception BizCore v2.0 —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rFonts w:ascii="Arial" w:cs="Arial" w:eastAsia="Arial" w:hAnsi="Arial"/>
        <w:color w:val="4A4A4A"/>
        <w:sz w:val="18"/>
        <w:szCs w:val="18"/>
      </w:rPr>
      <w:t xml:space="preserve">3GI Semestre 2 — 2025-2026  |  Page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4A4A4A"/>
        <w:sz w:val="18"/>
        <w:szCs w:val="18"/>
      </w:rPr>
      <w:t xml:space="preserve">BizCore — Documents de Conception v2.0  |  MCD · MLD ·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2026-04-01T11:08:46.040Z</dcterms:created>
  <dcterms:modified xsi:type="dcterms:W3CDTF">2026-04-01T11:08:46.041Z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