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微软雅黑" w:cs="微软雅黑" w:eastAsia="微软雅黑" w:hAnsi="微软雅黑"/>
          <w:b/>
          <w:bCs/>
          <w:sz w:val="36"/>
          <w:szCs w:val="36"/>
        </w:rPr>
        <w:t xml:space="preserve">ezBuild（依智云筑）投资建议书</w:t>
      </w:r>
    </w:p>
    <w:p>
      <w:pPr>
        <w:spacing w:after="100"/>
      </w:pPr>
    </w:p>
    <w:p>
      <w:pPr>
        <w:spacing w:after="120"/>
        <w:ind w:left="480"/>
      </w:pPr>
      <w:r>
        <w:rPr>
          <w:rFonts w:ascii="微软雅黑" w:cs="微软雅黑" w:eastAsia="微软雅黑" w:hAnsi="微软雅黑"/>
          <w:b/>
          <w:bCs/>
          <w:sz w:val="21"/>
          <w:szCs w:val="21"/>
        </w:rPr>
        <w:t xml:space="preserve">目标投资公司：</w:t>
      </w:r>
      <w:r>
        <w:rPr>
          <w:rFonts w:ascii="微软雅黑" w:cs="微软雅黑" w:eastAsia="微软雅黑" w:hAnsi="微软雅黑"/>
          <w:b w:val="false"/>
          <w:bCs w:val="false"/>
          <w:sz w:val="21"/>
          <w:szCs w:val="21"/>
        </w:rPr>
        <w:t xml:space="preserve">依智云筑建筑科技（上海）有限公司</w:t>
      </w:r>
    </w:p>
    <w:p>
      <w:pPr>
        <w:spacing w:after="120"/>
        <w:ind w:left="480"/>
      </w:pPr>
      <w:r>
        <w:rPr>
          <w:rFonts w:ascii="微软雅黑" w:cs="微软雅黑" w:eastAsia="微软雅黑" w:hAnsi="微软雅黑"/>
          <w:b/>
          <w:bCs/>
          <w:sz w:val="21"/>
          <w:szCs w:val="21"/>
        </w:rPr>
        <w:t xml:space="preserve">一句话总结：</w:t>
      </w:r>
      <w:r>
        <w:rPr>
          <w:rFonts w:ascii="微软雅黑" w:cs="微软雅黑" w:eastAsia="微软雅黑" w:hAnsi="微软雅黑"/>
          <w:b w:val="false"/>
          <w:bCs w:val="false"/>
          <w:sz w:val="21"/>
          <w:szCs w:val="21"/>
        </w:rPr>
        <w:t xml:space="preserve">以AI设计平台+标准化模块产品体系+中国柔性供应链，面向全球市场提供低成本、高品质的智能模块化装配式建筑解决方案。</w:t>
      </w:r>
    </w:p>
    <w:p>
      <w:pPr>
        <w:spacing w:after="120"/>
        <w:ind w:left="480"/>
      </w:pPr>
      <w:r>
        <w:rPr>
          <w:rFonts w:ascii="微软雅黑" w:cs="微软雅黑" w:eastAsia="微软雅黑" w:hAnsi="微软雅黑"/>
          <w:b/>
          <w:bCs/>
          <w:sz w:val="21"/>
          <w:szCs w:val="21"/>
        </w:rPr>
        <w:t xml:space="preserve">主营地点：</w:t>
      </w:r>
      <w:r>
        <w:rPr>
          <w:rFonts w:ascii="微软雅黑" w:cs="微软雅黑" w:eastAsia="微软雅黑" w:hAnsi="微软雅黑"/>
          <w:b w:val="false"/>
          <w:bCs w:val="false"/>
          <w:sz w:val="21"/>
          <w:szCs w:val="21"/>
        </w:rPr>
        <w:t xml:space="preserve">中国上海（注册地址：上海市嘉定区新成路500号J）</w:t>
      </w:r>
    </w:p>
    <w:p>
      <w:pPr>
        <w:spacing w:after="200" w:before="360"/>
      </w:pPr>
      <w:r>
        <w:rPr>
          <w:rFonts w:ascii="微软雅黑" w:cs="微软雅黑" w:eastAsia="微软雅黑" w:hAnsi="微软雅黑"/>
          <w:b/>
          <w:bCs/>
          <w:sz w:val="24"/>
          <w:szCs w:val="24"/>
        </w:rPr>
        <w:t xml:space="preserve">项目概述：</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产品：</w:t>
      </w:r>
      <w:r>
        <w:rPr>
          <w:rFonts w:ascii="微软雅黑" w:cs="微软雅黑" w:eastAsia="微软雅黑" w:hAnsi="微软雅黑"/>
          <w:b w:val="false"/>
          <w:bCs w:val="false"/>
          <w:sz w:val="21"/>
          <w:szCs w:val="21"/>
        </w:rPr>
        <w:t xml:space="preserve">ezBuild定位为AI驱动的智能模块化装配式建筑综合方案提供商。公司通过自研AI空间大模型将传统3个月设计流程压缩至1周，搭配NOAH（模块化公寓/应急建筑）、河姆渡（模块化独栋住宅）、潘多拉（模块化商业/共享空间）三大标准化模块产品线，覆盖公寓、住宅、民宿、文旅、商业、应急建筑等多元场景。公司依托国内成熟供应链，以"国内生产+海外组装"的轻资产模式实现全球化交付。创始团队已在中国及日本交付超2000所装配式建筑，目前处于独立公司化运营后的产品验证与首批商业订单交付阶段。</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融资：</w:t>
      </w:r>
      <w:r>
        <w:rPr>
          <w:rFonts w:ascii="微软雅黑" w:cs="微软雅黑" w:eastAsia="微软雅黑" w:hAnsi="微软雅黑"/>
          <w:b w:val="false"/>
          <w:bCs w:val="false"/>
          <w:sz w:val="21"/>
          <w:szCs w:val="21"/>
        </w:rPr>
        <w:t xml:space="preserve">公司正在进行种子轮融资，</w:t>
      </w:r>
      <w:r>
        <w:rPr>
          <w:rFonts w:ascii="微软雅黑" w:cs="微软雅黑" w:eastAsia="微软雅黑" w:hAnsi="微软雅黑"/>
          <w:b w:val="false"/>
          <w:bCs w:val="false"/>
          <w:sz w:val="21"/>
          <w:szCs w:val="21"/>
          <w:highlight w:val="yellow"/>
          <w:highlightCs w:val="yellow"/>
        </w:rPr>
        <w:t xml:space="preserve">计划融资1500万元人民币，出让10%股权，投前估值1.5亿元人民币。</w:t>
      </w:r>
    </w:p>
    <w:p>
      <w:pPr>
        <w:spacing w:after="200" w:before="360"/>
      </w:pPr>
      <w:r>
        <w:rPr>
          <w:rFonts w:ascii="微软雅黑" w:cs="微软雅黑" w:eastAsia="微软雅黑" w:hAnsi="微软雅黑"/>
          <w:b/>
          <w:bCs/>
          <w:sz w:val="24"/>
          <w:szCs w:val="24"/>
        </w:rPr>
        <w:t xml:space="preserve">初心：</w:t>
      </w:r>
    </w:p>
    <w:p>
      <w:pPr>
        <w:spacing w:after="120"/>
        <w:ind w:left="480"/>
      </w:pPr>
      <w:r>
        <w:rPr>
          <w:rFonts w:ascii="微软雅黑" w:cs="微软雅黑" w:eastAsia="微软雅黑" w:hAnsi="微软雅黑"/>
          <w:b w:val="false"/>
          <w:bCs w:val="false"/>
          <w:sz w:val="21"/>
          <w:szCs w:val="21"/>
        </w:rPr>
        <w:t xml:space="preserve">- 全球建筑行业长期面临"非标定制、效率低下、成本高企"三大痛点。传统建筑高度依赖现场人工、项目制交付，产品化程度极低。创始人山中龙行希望将建筑从"工程品"转变为"工业品"，借助AI设计和模块化产品体系，让高品质建筑像消费品一样可标准化、可复制、可全球交付，实现"全球生活品质平权"。</w:t>
      </w:r>
    </w:p>
    <w:p>
      <w:pPr>
        <w:spacing w:after="200" w:before="360"/>
      </w:pPr>
      <w:r>
        <w:rPr>
          <w:rFonts w:ascii="微软雅黑" w:cs="微软雅黑" w:eastAsia="微软雅黑" w:hAnsi="微软雅黑"/>
          <w:b/>
          <w:bCs/>
          <w:sz w:val="24"/>
          <w:szCs w:val="24"/>
        </w:rPr>
        <w:t xml:space="preserve">创始团队：</w:t>
      </w:r>
    </w:p>
    <w:p>
      <w:pPr>
        <w:spacing w:after="120"/>
        <w:ind w:left="480"/>
      </w:pPr>
      <w:r>
        <w:rPr>
          <w:rFonts w:ascii="微软雅黑" w:cs="微软雅黑" w:eastAsia="微软雅黑" w:hAnsi="微软雅黑"/>
          <w:b w:val="false"/>
          <w:bCs w:val="false"/>
          <w:sz w:val="21"/>
          <w:szCs w:val="21"/>
        </w:rPr>
        <w:t xml:space="preserve">- 团队目前约16人（含已发Offer待入职），核心成员中8人具有清华大学背景，专业覆盖产品、AI、建筑设计、结构工程、供应链、项目管理、市场销售及投融资等关键领域。</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山中龙行（YAMANAKA TATSUYUKI）：</w:t>
      </w:r>
      <w:r>
        <w:rPr>
          <w:rFonts w:ascii="微软雅黑" w:cs="微软雅黑" w:eastAsia="微软雅黑" w:hAnsi="微软雅黑"/>
          <w:b w:val="false"/>
          <w:bCs w:val="false"/>
          <w:sz w:val="21"/>
          <w:szCs w:val="21"/>
        </w:rPr>
        <w:t xml:space="preserve">创始人兼CEO，1997年生，日本国籍，清华大学美术学院工业设计硕士（导师：蒋红斌教授）。曾在AR领域头部公司VITURE担任日本市场经理，在日本众筹平台MAKUAKE达成1.86亿日元众筹额；先后任华硕日本市场专家、追觅科技市场专家。深耕AR行业及科技消费品市场，具备复合市场、产品、供应链全链路经验。2024年获全国通用人工智能创新应用大赛优秀奖。负责市场及融资。</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秦天汭：</w:t>
      </w:r>
      <w:r>
        <w:rPr>
          <w:rFonts w:ascii="微软雅黑" w:cs="微软雅黑" w:eastAsia="微软雅黑" w:hAnsi="微软雅黑"/>
          <w:b w:val="false"/>
          <w:bCs w:val="false"/>
          <w:sz w:val="21"/>
          <w:szCs w:val="21"/>
        </w:rPr>
        <w:t xml:space="preserve">联合创始人兼VP，1997年生，清华大学车辆学院本科（导师：赵福全教授）。曾联合创立萘思尔教育品牌，创业后半年估值超1000万元。多年互联网及AI产品经验，先后在携程、文远知行、蔚来汽车、岚图汽车等任AI产品经理。负责产品及项目管理。</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高木竜男：</w:t>
      </w:r>
      <w:r>
        <w:rPr>
          <w:rFonts w:ascii="微软雅黑" w:cs="微软雅黑" w:eastAsia="微软雅黑" w:hAnsi="微软雅黑"/>
          <w:b w:val="false"/>
          <w:bCs w:val="false"/>
          <w:sz w:val="21"/>
          <w:szCs w:val="21"/>
        </w:rPr>
        <w:t xml:space="preserve">联合创始人兼建筑设计师，清华大学建筑学院硕士（导师：朱宁）。多年小体量独立建筑、装配式建筑、住宅改造设计经验，具有丰富的装配式建筑设备优化、物理性能测算、建筑材料选型经验。目前专攻乡村建筑研究，具有丰富的"乡村振兴"建筑相关工程建设经验。</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李烨君（Offer已发，8月入职）：</w:t>
      </w:r>
      <w:r>
        <w:rPr>
          <w:rFonts w:ascii="微软雅黑" w:cs="微软雅黑" w:eastAsia="微软雅黑" w:hAnsi="微软雅黑"/>
          <w:b w:val="false"/>
          <w:bCs w:val="false"/>
          <w:sz w:val="21"/>
          <w:szCs w:val="21"/>
        </w:rPr>
        <w:t xml:space="preserve">融资总监，清华大学建设管理专业本科，哥伦比亚大学硕士。多年地产行业投融资经验，历任华发、阳光城、旭辉等地产商投融资负责人。负责融资及中国区销售。</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彭进华（Offer已发，8月入职）：</w:t>
      </w:r>
      <w:r>
        <w:rPr>
          <w:rFonts w:ascii="微软雅黑" w:cs="微软雅黑" w:eastAsia="微软雅黑" w:hAnsi="微软雅黑"/>
          <w:b w:val="false"/>
          <w:bCs w:val="false"/>
          <w:sz w:val="21"/>
          <w:szCs w:val="21"/>
        </w:rPr>
        <w:t xml:space="preserve">全栈工程师，ACM全国金奖获得者，小马智行及文远知行数据平台核心负责人。负责AI及云平台开发。</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其他核心成员：</w:t>
      </w:r>
      <w:r>
        <w:rPr>
          <w:rFonts w:ascii="微软雅黑" w:cs="微软雅黑" w:eastAsia="微软雅黑" w:hAnsi="微软雅黑"/>
          <w:b w:val="false"/>
          <w:bCs w:val="false"/>
          <w:sz w:val="21"/>
          <w:szCs w:val="21"/>
        </w:rPr>
        <w:t xml:space="preserve">刘宇川（项目经理，碧桂园多年装配式建筑项目管理经验）、张世杰（采购经理，中铁多年采购管理经验）、孟琪（法务BP，清华本科，精通知识产权及劳动法）、周振浩（澳洲销售经理，深耕澳洲市场）、蔡英东（北美销售经理，清华本科/港大硕）等。</w:t>
      </w:r>
    </w:p>
    <w:p>
      <w:pPr>
        <w:spacing w:after="200" w:before="360"/>
      </w:pPr>
      <w:r>
        <w:rPr>
          <w:rFonts w:ascii="微软雅黑" w:cs="微软雅黑" w:eastAsia="微软雅黑" w:hAnsi="微软雅黑"/>
          <w:b/>
          <w:bCs/>
          <w:sz w:val="24"/>
          <w:szCs w:val="24"/>
        </w:rPr>
        <w:t xml:space="preserve">股权架构：</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工商登记股权结构：</w:t>
      </w:r>
      <w:r>
        <w:rPr>
          <w:rFonts w:ascii="微软雅黑" w:cs="微软雅黑" w:eastAsia="微软雅黑" w:hAnsi="微软雅黑"/>
          <w:b w:val="false"/>
          <w:bCs w:val="false"/>
          <w:sz w:val="21"/>
          <w:szCs w:val="21"/>
        </w:rPr>
        <w:t xml:space="preserve">山中龙行（YAMANAKA TATSUYUKI）持股70%，秦天汭持股30%。注册资本100万元人民币。</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实际权益口径：</w:t>
      </w:r>
      <w:r>
        <w:rPr>
          <w:rFonts w:ascii="微软雅黑" w:cs="微软雅黑" w:eastAsia="微软雅黑" w:hAnsi="微软雅黑"/>
          <w:b w:val="false"/>
          <w:bCs w:val="false"/>
          <w:sz w:val="21"/>
          <w:szCs w:val="21"/>
        </w:rPr>
        <w:t xml:space="preserve">山中龙行持有60%（其名下10%系代员工持股平台持有），员工持股平台10%，秦天汭30%。除上述代持安排外，不存在其他股东、其他代持或股权变动情况。</w:t>
      </w:r>
    </w:p>
    <w:p>
      <w:pPr>
        <w:spacing w:after="120"/>
        <w:ind w:left="480"/>
      </w:pPr>
      <w:r>
        <w:rPr>
          <w:rFonts w:ascii="微软雅黑" w:cs="微软雅黑" w:eastAsia="微软雅黑" w:hAnsi="微软雅黑"/>
          <w:b w:val="false"/>
          <w:bCs w:val="false"/>
          <w:sz w:val="21"/>
          <w:szCs w:val="21"/>
        </w:rPr>
        <w:t xml:space="preserve">- 公司设立至今，注册资本及股权结构未发生变更。公司章程规定设董事1名，不设经理，不设监事，法定代表人由股东会选举的董事担任。营业期限为不约定期限。</w:t>
      </w:r>
    </w:p>
    <w:p>
      <w:pPr>
        <w:spacing w:after="200" w:before="360"/>
      </w:pPr>
      <w:r>
        <w:rPr>
          <w:rFonts w:ascii="微软雅黑" w:cs="微软雅黑" w:eastAsia="微软雅黑" w:hAnsi="微软雅黑"/>
          <w:b/>
          <w:bCs/>
          <w:sz w:val="24"/>
          <w:szCs w:val="24"/>
        </w:rPr>
        <w:t xml:space="preserve">业务特点与市场展望：</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产品形态：</w:t>
      </w:r>
      <w:r>
        <w:rPr>
          <w:rFonts w:ascii="微软雅黑" w:cs="微软雅黑" w:eastAsia="微软雅黑" w:hAnsi="微软雅黑"/>
          <w:b w:val="false"/>
          <w:bCs w:val="false"/>
          <w:sz w:val="21"/>
          <w:szCs w:val="21"/>
        </w:rPr>
        <w:t xml:space="preserve">不是单一的建筑承包商，而是"AI设计+标准模块+柔性供应链+全球交付"的一体化平台。核心能力是将非标建筑需求转化为标准化、可报价、可生产、可交付的建筑产品，形成"需求—设计—报价—生产—交付"的闭环。</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产品体系：</w:t>
      </w:r>
      <w:r>
        <w:rPr>
          <w:rFonts w:ascii="微软雅黑" w:cs="微软雅黑" w:eastAsia="微软雅黑" w:hAnsi="微软雅黑"/>
          <w:b w:val="false"/>
          <w:bCs w:val="false"/>
          <w:sz w:val="21"/>
          <w:szCs w:val="21"/>
        </w:rPr>
        <w:t xml:space="preserve">分为两大类——（1）传统装配式建筑产品（木结构、发泡混凝土、轻钢结构、混合材料），面向B端客户按需定制设计和生产；（2）模块化建筑产品（NOAH公寓/应急、河姆渡独栋住宅、潘多拉轻量化商业），以标准化模块为核心实现规模化复制。另配有丰富的选装系列（支撑结构选装、墙体及内外墙面选装、附加功能及服务选装），兼容木、轻钢、钢木混合等多种主体结构和陶粒发泡混凝土、铝镁合金板、石晶板等多种新型建材。</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客户对象：</w:t>
      </w:r>
      <w:r>
        <w:rPr>
          <w:rFonts w:ascii="微软雅黑" w:cs="微软雅黑" w:eastAsia="微软雅黑" w:hAnsi="微软雅黑"/>
          <w:b w:val="false"/>
          <w:bCs w:val="false"/>
          <w:sz w:val="21"/>
          <w:szCs w:val="21"/>
        </w:rPr>
        <w:t xml:space="preserve">初创阶段以海外B端为主（地产商、建筑事务所、工程企业），以合伙人模式拓展海外市场机会（美国、澳洲、巴西等）；同步推进国内文旅、乡村振兴等场景。成长阶段利用AI设计平台推广海外小业主市场（美国ADU等），逐步实现B+C双轮驱动。</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商业模式：</w:t>
      </w:r>
      <w:r>
        <w:rPr>
          <w:rFonts w:ascii="微软雅黑" w:cs="微软雅黑" w:eastAsia="微软雅黑" w:hAnsi="微软雅黑"/>
          <w:b w:val="false"/>
          <w:bCs w:val="false"/>
          <w:sz w:val="21"/>
          <w:szCs w:val="21"/>
        </w:rPr>
        <w:t xml:space="preserve">（1）建筑产品销售（主营）；（2）智能硬件前装收入（光储一体系统、全屋智能系统、端侧AI空间大模型）；（3）文旅项目代运营增值服务（品牌引流、客源托管、运维管理）；（4）建筑健康度监测服务（24小时结构/设备/环境数据采集分析）。形成"一次建造、长期复购"的全生命周期收益模式，区别于行业一次性交付。</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市场空间：</w:t>
      </w:r>
      <w:r>
        <w:rPr>
          <w:rFonts w:ascii="微软雅黑" w:cs="微软雅黑" w:eastAsia="微软雅黑" w:hAnsi="微软雅黑"/>
          <w:b w:val="false"/>
          <w:bCs w:val="false"/>
          <w:sz w:val="21"/>
          <w:szCs w:val="21"/>
        </w:rPr>
        <w:t xml:space="preserve">全球智能建筑科技市场2023年达1.85万亿元（CAGR约7%，2027年预计达2.5万亿元）；中国装配式建筑2025年目标占新建比例30%，2030年目标≥40%。海外新兴市场（东南亚2028年预计250亿美元、东欧200亿美元、非洲150亿美元）需求爆发。模块化建筑相比混凝土现浇工期缩短60%+、成本降低40%+、净利润率从5-7%提升至20-25%，具备断崖式效率优势。</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竞争位置：</w:t>
      </w:r>
      <w:r>
        <w:rPr>
          <w:rFonts w:ascii="微软雅黑" w:cs="微软雅黑" w:eastAsia="微软雅黑" w:hAnsi="微软雅黑"/>
          <w:b w:val="false"/>
          <w:bCs w:val="false"/>
          <w:sz w:val="21"/>
          <w:szCs w:val="21"/>
        </w:rPr>
        <w:t xml:space="preserve">国内对标企业——中集模块化（央企背景，主打重型钢结构集装箱模块，海外大客户资源充足但产品单一）、中建海龙/中建科工（国企龙头，聚焦国内保障房/大型公建，海外布局薄弱）、美好置业（仅做传统PC预制构件，无整屋模块化）、江苏零界（专精木结构独栋民宿，赛道局限于单一木构体系）。海外对标企业——积水住宅/大和房屋（日系百年住宅龙头，本土全自动工厂但建厂与人工成本极高）、Z Modular（北美钢结构模块化头部，仅深耕北美区域）、Blu Homes（轻量化折叠独栋，仅北美C端）、Boxabl（2026年7月通过SPAC上市，估值35亿美元，仅做小型ADU/C端市场）。ezBuild以"全场景多材料产品矩阵+AI设计双闭环+轻资产出海模式"形成差异化。潘多拉（轻量化可重组商业模块）为行业空白蓝海赛道，无直接竞品。</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项目进展：</w:t>
      </w:r>
      <w:r>
        <w:rPr>
          <w:rFonts w:ascii="微软雅黑" w:cs="微软雅黑" w:eastAsia="微软雅黑" w:hAnsi="微软雅黑"/>
          <w:b w:val="false"/>
          <w:bCs w:val="false"/>
          <w:sz w:val="21"/>
          <w:szCs w:val="21"/>
        </w:rPr>
        <w:t xml:space="preserve">2026年6月签署首份商业订单——海南东方木结构自建屋项目（合同总标的额100万元人民币），已正式签署合作协议，计划7月内完成首笔款项支付，8月落地完整方案设计，10月实现现场搭建交付。海外项目方面，美国加州木结构模块化公寓（约3300m²/约2000万元）、巴西保障性住房（单套40m²，首批500套/约5000万元）、新西兰南岛度假民宿（约160m²/约200万元）、马来西亚吉隆坡经济性住宅社区（138m²/套，首批200套）、巴西伊瓜苏度假社区（53栋度假屋+25套船坞）等项目均处于方案沟通及报价阶段，尚未签署正式合同文件。预计7-9月陆续完成合同签约，全部项目将于2027年6月前依次完成搭建交付。</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与追觅科技的关系：</w:t>
      </w:r>
      <w:r>
        <w:rPr>
          <w:rFonts w:ascii="微软雅黑" w:cs="微软雅黑" w:eastAsia="微软雅黑" w:hAnsi="微软雅黑"/>
          <w:b w:val="false"/>
          <w:bCs w:val="false"/>
          <w:sz w:val="21"/>
          <w:szCs w:val="21"/>
        </w:rPr>
        <w:t xml:space="preserve">前期项目曾作为追觅科技内部BU进行孵化和业务验证，但双方不存在股权投资关系。现阶段ezBuild已完全脱离追觅体系，由独立公司主体独立运营。追觅不持有ezBuild任何股权，也不享有任何投资权益，后续经营决策、团队、融资、订单及业务发展均由独立主体自主推进，与追觅不存在任何隶属或控制关系。</w:t>
      </w:r>
    </w:p>
    <w:p>
      <w:pPr>
        <w:spacing w:after="200" w:before="360"/>
      </w:pPr>
      <w:r>
        <w:rPr>
          <w:rFonts w:ascii="微软雅黑" w:cs="微软雅黑" w:eastAsia="微软雅黑" w:hAnsi="微软雅黑"/>
          <w:b/>
          <w:bCs/>
          <w:sz w:val="24"/>
          <w:szCs w:val="24"/>
        </w:rPr>
        <w:t xml:space="preserve">财务数据：</w:t>
      </w:r>
    </w:p>
    <w:p>
      <w:pPr>
        <w:spacing w:after="120"/>
        <w:ind w:left="480"/>
      </w:pPr>
      <w:r>
        <w:rPr>
          <w:rFonts w:ascii="微软雅黑" w:cs="微软雅黑" w:eastAsia="微软雅黑" w:hAnsi="微软雅黑"/>
          <w:b w:val="false"/>
          <w:bCs w:val="false"/>
          <w:sz w:val="21"/>
          <w:szCs w:val="21"/>
        </w:rPr>
        <w:t xml:space="preserve">- 公司2026年6月正式注册成立，尚处极早期阶段，暂无经审计的历史财务数据。以下为公司提供的财务预测（未经审计）。</w:t>
      </w:r>
    </w:p>
    <w:p>
      <w:pPr>
        <w:spacing w:after="100"/>
      </w:pPr>
    </w:p>
    <w:p>
      <w:pPr>
        <w:spacing w:after="120"/>
        <w:ind w:left="480"/>
      </w:pPr>
      <w:r>
        <w:rPr>
          <w:rFonts w:ascii="微软雅黑" w:cs="微软雅黑" w:eastAsia="微软雅黑" w:hAnsi="微软雅黑"/>
          <w:b/>
          <w:bCs/>
          <w:sz w:val="21"/>
          <w:szCs w:val="21"/>
        </w:rPr>
        <w:t xml:space="preserve">公司中长期财务预测（2026-2031年）：</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shd w:fill="1F4E79" w:color="auto" w:val="clear"/>
            <w:vAlign w:val="center"/>
          </w:tcPr>
          <w:p>
            <w:pPr>
              <w:jc w:val="center"/>
            </w:pPr>
            <w:r>
              <w:rPr>
                <w:rFonts w:ascii="微软雅黑" w:cs="微软雅黑" w:eastAsia="微软雅黑" w:hAnsi="微软雅黑"/>
                <w:b/>
                <w:bCs/>
                <w:color w:val="FFFFFF"/>
                <w:sz w:val="18"/>
                <w:szCs w:val="18"/>
              </w:rPr>
              <w:t xml:space="preserve">年份</w:t>
            </w:r>
          </w:p>
        </w:tc>
        <w:tc>
          <w:tcPr>
            <w:shd w:fill="1F4E79" w:color="auto" w:val="clear"/>
            <w:vAlign w:val="center"/>
          </w:tcPr>
          <w:p>
            <w:pPr>
              <w:jc w:val="center"/>
            </w:pPr>
            <w:r>
              <w:rPr>
                <w:rFonts w:ascii="微软雅黑" w:cs="微软雅黑" w:eastAsia="微软雅黑" w:hAnsi="微软雅黑"/>
                <w:b/>
                <w:bCs/>
                <w:color w:val="FFFFFF"/>
                <w:sz w:val="18"/>
                <w:szCs w:val="18"/>
              </w:rPr>
              <w:t xml:space="preserve">阶段</w:t>
            </w:r>
          </w:p>
        </w:tc>
        <w:tc>
          <w:tcPr>
            <w:shd w:fill="1F4E79" w:color="auto" w:val="clear"/>
            <w:vAlign w:val="center"/>
          </w:tcPr>
          <w:p>
            <w:pPr>
              <w:jc w:val="center"/>
            </w:pPr>
            <w:r>
              <w:rPr>
                <w:rFonts w:ascii="微软雅黑" w:cs="微软雅黑" w:eastAsia="微软雅黑" w:hAnsi="微软雅黑"/>
                <w:b/>
                <w:bCs/>
                <w:color w:val="FFFFFF"/>
                <w:sz w:val="18"/>
                <w:szCs w:val="18"/>
              </w:rPr>
              <w:t xml:space="preserve">营收</w:t>
            </w:r>
          </w:p>
        </w:tc>
        <w:tc>
          <w:tcPr>
            <w:shd w:fill="1F4E79" w:color="auto" w:val="clear"/>
            <w:vAlign w:val="center"/>
          </w:tcPr>
          <w:p>
            <w:pPr>
              <w:jc w:val="center"/>
            </w:pPr>
            <w:r>
              <w:rPr>
                <w:rFonts w:ascii="微软雅黑" w:cs="微软雅黑" w:eastAsia="微软雅黑" w:hAnsi="微软雅黑"/>
                <w:b/>
                <w:bCs/>
                <w:color w:val="FFFFFF"/>
                <w:sz w:val="18"/>
                <w:szCs w:val="18"/>
              </w:rPr>
              <w:t xml:space="preserve">毛利润</w:t>
            </w:r>
          </w:p>
        </w:tc>
        <w:tc>
          <w:tcPr>
            <w:shd w:fill="1F4E79" w:color="auto" w:val="clear"/>
            <w:vAlign w:val="center"/>
          </w:tcPr>
          <w:p>
            <w:pPr>
              <w:jc w:val="center"/>
            </w:pPr>
            <w:r>
              <w:rPr>
                <w:rFonts w:ascii="微软雅黑" w:cs="微软雅黑" w:eastAsia="微软雅黑" w:hAnsi="微软雅黑"/>
                <w:b/>
                <w:bCs/>
                <w:color w:val="FFFFFF"/>
                <w:sz w:val="18"/>
                <w:szCs w:val="18"/>
              </w:rPr>
              <w:t xml:space="preserve">净利润</w:t>
            </w:r>
          </w:p>
        </w:tc>
        <w:tc>
          <w:tcPr>
            <w:shd w:fill="1F4E79" w:color="auto" w:val="clear"/>
            <w:vAlign w:val="center"/>
          </w:tcPr>
          <w:p>
            <w:pPr>
              <w:jc w:val="center"/>
            </w:pPr>
            <w:r>
              <w:rPr>
                <w:rFonts w:ascii="微软雅黑" w:cs="微软雅黑" w:eastAsia="微软雅黑" w:hAnsi="微软雅黑"/>
                <w:b/>
                <w:bCs/>
                <w:color w:val="FFFFFF"/>
                <w:sz w:val="18"/>
                <w:szCs w:val="18"/>
              </w:rPr>
              <w:t xml:space="preserve">毛利率</w:t>
            </w:r>
          </w:p>
        </w:tc>
        <w:tc>
          <w:tcPr>
            <w:shd w:fill="1F4E79" w:color="auto" w:val="clear"/>
            <w:vAlign w:val="center"/>
          </w:tcPr>
          <w:p>
            <w:pPr>
              <w:jc w:val="center"/>
            </w:pPr>
            <w:r>
              <w:rPr>
                <w:rFonts w:ascii="微软雅黑" w:cs="微软雅黑" w:eastAsia="微软雅黑" w:hAnsi="微软雅黑"/>
                <w:b/>
                <w:bCs/>
                <w:color w:val="FFFFFF"/>
                <w:sz w:val="18"/>
                <w:szCs w:val="18"/>
              </w:rPr>
              <w:t xml:space="preserve">净利率</w:t>
            </w:r>
          </w:p>
        </w:tc>
        <w:tc>
          <w:tcPr>
            <w:shd w:fill="1F4E79" w:color="auto" w:val="clear"/>
            <w:vAlign w:val="center"/>
          </w:tcPr>
          <w:p>
            <w:pPr>
              <w:jc w:val="center"/>
            </w:pPr>
            <w:r>
              <w:rPr>
                <w:rFonts w:ascii="微软雅黑" w:cs="微软雅黑" w:eastAsia="微软雅黑" w:hAnsi="微软雅黑"/>
                <w:b/>
                <w:bCs/>
                <w:color w:val="FFFFFF"/>
                <w:sz w:val="18"/>
                <w:szCs w:val="18"/>
              </w:rPr>
              <w:t xml:space="preserve">核心驱动</w:t>
            </w:r>
          </w:p>
        </w:tc>
      </w:tr>
      <w:tr>
        <w:tc>
          <w:tcPr>
            <w:vAlign w:val="center"/>
          </w:tcPr>
          <w:p>
            <w:pPr>
              <w:jc w:val="left"/>
            </w:pPr>
            <w:r>
              <w:rPr>
                <w:rFonts w:ascii="微软雅黑" w:cs="微软雅黑" w:eastAsia="微软雅黑" w:hAnsi="微软雅黑"/>
                <w:b w:val="false"/>
                <w:bCs w:val="false"/>
                <w:sz w:val="18"/>
                <w:szCs w:val="18"/>
              </w:rPr>
              <w:t xml:space="preserve">2026</w:t>
            </w:r>
          </w:p>
        </w:tc>
        <w:tc>
          <w:tcPr>
            <w:vAlign w:val="center"/>
          </w:tcPr>
          <w:p>
            <w:pPr>
              <w:jc w:val="left"/>
            </w:pPr>
            <w:r>
              <w:rPr>
                <w:rFonts w:ascii="微软雅黑" w:cs="微软雅黑" w:eastAsia="微软雅黑" w:hAnsi="微软雅黑"/>
                <w:b w:val="false"/>
                <w:bCs w:val="false"/>
                <w:sz w:val="18"/>
                <w:szCs w:val="18"/>
              </w:rPr>
              <w:t xml:space="preserve">验证期</w:t>
            </w:r>
          </w:p>
        </w:tc>
        <w:tc>
          <w:tcPr>
            <w:vAlign w:val="center"/>
          </w:tcPr>
          <w:p>
            <w:pPr>
              <w:jc w:val="left"/>
            </w:pPr>
            <w:r>
              <w:rPr>
                <w:rFonts w:ascii="微软雅黑" w:cs="微软雅黑" w:eastAsia="微软雅黑" w:hAnsi="微软雅黑"/>
                <w:b w:val="false"/>
                <w:bCs w:val="false"/>
                <w:sz w:val="18"/>
                <w:szCs w:val="18"/>
              </w:rPr>
              <w:t xml:space="preserve">2,000万</w:t>
            </w:r>
          </w:p>
        </w:tc>
        <w:tc>
          <w:tcPr>
            <w:vAlign w:val="center"/>
          </w:tcPr>
          <w:p>
            <w:pPr>
              <w:jc w:val="center"/>
            </w:pPr>
            <w:r>
              <w:rPr>
                <w:rFonts w:ascii="微软雅黑" w:cs="微软雅黑" w:eastAsia="微软雅黑" w:hAnsi="微软雅黑"/>
                <w:b w:val="false"/>
                <w:bCs w:val="false"/>
                <w:sz w:val="18"/>
                <w:szCs w:val="18"/>
              </w:rPr>
              <w:t xml:space="preserve">500万</w:t>
            </w:r>
          </w:p>
        </w:tc>
        <w:tc>
          <w:tcPr>
            <w:vAlign w:val="center"/>
          </w:tcPr>
          <w:p>
            <w:pPr>
              <w:jc w:val="center"/>
            </w:pPr>
            <w:r>
              <w:rPr>
                <w:rFonts w:ascii="微软雅黑" w:cs="微软雅黑" w:eastAsia="微软雅黑" w:hAnsi="微软雅黑"/>
                <w:b w:val="false"/>
                <w:bCs w:val="false"/>
                <w:sz w:val="18"/>
                <w:szCs w:val="18"/>
              </w:rPr>
              <w:t xml:space="preserve">200万</w:t>
            </w:r>
          </w:p>
        </w:tc>
        <w:tc>
          <w:tcPr>
            <w:vAlign w:val="center"/>
          </w:tcPr>
          <w:p>
            <w:pPr>
              <w:jc w:val="center"/>
            </w:pPr>
            <w:r>
              <w:rPr>
                <w:rFonts w:ascii="微软雅黑" w:cs="微软雅黑" w:eastAsia="微软雅黑" w:hAnsi="微软雅黑"/>
                <w:b w:val="false"/>
                <w:bCs w:val="false"/>
                <w:sz w:val="18"/>
                <w:szCs w:val="18"/>
              </w:rPr>
              <w:t xml:space="preserve">25%</w:t>
            </w:r>
          </w:p>
        </w:tc>
        <w:tc>
          <w:tcPr>
            <w:vAlign w:val="center"/>
          </w:tcPr>
          <w:p>
            <w:pPr>
              <w:jc w:val="center"/>
            </w:pPr>
            <w:r>
              <w:rPr>
                <w:rFonts w:ascii="微软雅黑" w:cs="微软雅黑" w:eastAsia="微软雅黑" w:hAnsi="微软雅黑"/>
                <w:b w:val="false"/>
                <w:bCs w:val="false"/>
                <w:sz w:val="18"/>
                <w:szCs w:val="18"/>
              </w:rPr>
              <w:t xml:space="preserve">10%</w:t>
            </w:r>
          </w:p>
        </w:tc>
        <w:tc>
          <w:tcPr>
            <w:vAlign w:val="center"/>
          </w:tcPr>
          <w:p>
            <w:pPr>
              <w:jc w:val="center"/>
            </w:pPr>
            <w:r>
              <w:rPr>
                <w:rFonts w:ascii="微软雅黑" w:cs="微软雅黑" w:eastAsia="微软雅黑" w:hAnsi="微软雅黑"/>
                <w:b w:val="false"/>
                <w:bCs w:val="false"/>
                <w:sz w:val="18"/>
                <w:szCs w:val="18"/>
              </w:rPr>
              <w:t xml:space="preserve">样板房交付、首条柔性产线落地</w:t>
            </w:r>
          </w:p>
        </w:tc>
      </w:tr>
      <w:tr>
        <w:tc>
          <w:tcPr>
            <w:shd w:fill="F2F2F2" w:color="auto" w:val="clear"/>
            <w:vAlign w:val="center"/>
          </w:tcPr>
          <w:p>
            <w:pPr>
              <w:jc w:val="left"/>
            </w:pPr>
            <w:r>
              <w:rPr>
                <w:rFonts w:ascii="微软雅黑" w:cs="微软雅黑" w:eastAsia="微软雅黑" w:hAnsi="微软雅黑"/>
                <w:b w:val="false"/>
                <w:bCs w:val="false"/>
                <w:sz w:val="18"/>
                <w:szCs w:val="18"/>
              </w:rPr>
              <w:t xml:space="preserve">2027</w:t>
            </w:r>
          </w:p>
        </w:tc>
        <w:tc>
          <w:tcPr>
            <w:shd w:fill="F2F2F2" w:color="auto" w:val="clear"/>
            <w:vAlign w:val="center"/>
          </w:tcPr>
          <w:p>
            <w:pPr>
              <w:jc w:val="left"/>
            </w:pPr>
            <w:r>
              <w:rPr>
                <w:rFonts w:ascii="微软雅黑" w:cs="微软雅黑" w:eastAsia="微软雅黑" w:hAnsi="微软雅黑"/>
                <w:b w:val="false"/>
                <w:bCs w:val="false"/>
                <w:sz w:val="18"/>
                <w:szCs w:val="18"/>
              </w:rPr>
              <w:t xml:space="preserve">验证期</w:t>
            </w:r>
          </w:p>
        </w:tc>
        <w:tc>
          <w:tcPr>
            <w:shd w:fill="F2F2F2" w:color="auto" w:val="clear"/>
            <w:vAlign w:val="center"/>
          </w:tcPr>
          <w:p>
            <w:pPr>
              <w:jc w:val="left"/>
            </w:pPr>
            <w:r>
              <w:rPr>
                <w:rFonts w:ascii="微软雅黑" w:cs="微软雅黑" w:eastAsia="微软雅黑" w:hAnsi="微软雅黑"/>
                <w:b w:val="false"/>
                <w:bCs w:val="false"/>
                <w:sz w:val="18"/>
                <w:szCs w:val="18"/>
              </w:rPr>
              <w:t xml:space="preserve">6,000万</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1,800万</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1,000万</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30%</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16%</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模块标准化体系形成</w:t>
            </w:r>
          </w:p>
        </w:tc>
      </w:tr>
      <w:tr>
        <w:tc>
          <w:tcPr>
            <w:vAlign w:val="center"/>
          </w:tcPr>
          <w:p>
            <w:pPr>
              <w:jc w:val="left"/>
            </w:pPr>
            <w:r>
              <w:rPr>
                <w:rFonts w:ascii="微软雅黑" w:cs="微软雅黑" w:eastAsia="微软雅黑" w:hAnsi="微软雅黑"/>
                <w:b w:val="false"/>
                <w:bCs w:val="false"/>
                <w:sz w:val="18"/>
                <w:szCs w:val="18"/>
              </w:rPr>
              <w:t xml:space="preserve">2028</w:t>
            </w:r>
          </w:p>
        </w:tc>
        <w:tc>
          <w:tcPr>
            <w:vAlign w:val="center"/>
          </w:tcPr>
          <w:p>
            <w:pPr>
              <w:jc w:val="left"/>
            </w:pPr>
            <w:r>
              <w:rPr>
                <w:rFonts w:ascii="微软雅黑" w:cs="微软雅黑" w:eastAsia="微软雅黑" w:hAnsi="微软雅黑"/>
                <w:b w:val="false"/>
                <w:bCs w:val="false"/>
                <w:sz w:val="18"/>
                <w:szCs w:val="18"/>
              </w:rPr>
              <w:t xml:space="preserve">扩张期</w:t>
            </w:r>
          </w:p>
        </w:tc>
        <w:tc>
          <w:tcPr>
            <w:vAlign w:val="center"/>
          </w:tcPr>
          <w:p>
            <w:pPr>
              <w:jc w:val="left"/>
            </w:pPr>
            <w:r>
              <w:rPr>
                <w:rFonts w:ascii="微软雅黑" w:cs="微软雅黑" w:eastAsia="微软雅黑" w:hAnsi="微软雅黑"/>
                <w:b w:val="false"/>
                <w:bCs w:val="false"/>
                <w:sz w:val="18"/>
                <w:szCs w:val="18"/>
              </w:rPr>
              <w:t xml:space="preserve">2亿</w:t>
            </w:r>
          </w:p>
        </w:tc>
        <w:tc>
          <w:tcPr>
            <w:vAlign w:val="center"/>
          </w:tcPr>
          <w:p>
            <w:pPr>
              <w:jc w:val="center"/>
            </w:pPr>
            <w:r>
              <w:rPr>
                <w:rFonts w:ascii="微软雅黑" w:cs="微软雅黑" w:eastAsia="微软雅黑" w:hAnsi="微软雅黑"/>
                <w:b w:val="false"/>
                <w:bCs w:val="false"/>
                <w:sz w:val="18"/>
                <w:szCs w:val="18"/>
              </w:rPr>
              <w:t xml:space="preserve">6,000万</w:t>
            </w:r>
          </w:p>
        </w:tc>
        <w:tc>
          <w:tcPr>
            <w:vAlign w:val="center"/>
          </w:tcPr>
          <w:p>
            <w:pPr>
              <w:jc w:val="center"/>
            </w:pPr>
            <w:r>
              <w:rPr>
                <w:rFonts w:ascii="微软雅黑" w:cs="微软雅黑" w:eastAsia="微软雅黑" w:hAnsi="微软雅黑"/>
                <w:b w:val="false"/>
                <w:bCs w:val="false"/>
                <w:sz w:val="18"/>
                <w:szCs w:val="18"/>
              </w:rPr>
              <w:t xml:space="preserve">3,500万</w:t>
            </w:r>
          </w:p>
        </w:tc>
        <w:tc>
          <w:tcPr>
            <w:vAlign w:val="center"/>
          </w:tcPr>
          <w:p>
            <w:pPr>
              <w:jc w:val="center"/>
            </w:pPr>
            <w:r>
              <w:rPr>
                <w:rFonts w:ascii="微软雅黑" w:cs="微软雅黑" w:eastAsia="微软雅黑" w:hAnsi="微软雅黑"/>
                <w:b w:val="false"/>
                <w:bCs w:val="false"/>
                <w:sz w:val="18"/>
                <w:szCs w:val="18"/>
              </w:rPr>
              <w:t xml:space="preserve">30%</w:t>
            </w:r>
          </w:p>
        </w:tc>
        <w:tc>
          <w:tcPr>
            <w:vAlign w:val="center"/>
          </w:tcPr>
          <w:p>
            <w:pPr>
              <w:jc w:val="center"/>
            </w:pPr>
            <w:r>
              <w:rPr>
                <w:rFonts w:ascii="微软雅黑" w:cs="微软雅黑" w:eastAsia="微软雅黑" w:hAnsi="微软雅黑"/>
                <w:b w:val="false"/>
                <w:bCs w:val="false"/>
                <w:sz w:val="18"/>
                <w:szCs w:val="18"/>
              </w:rPr>
              <w:t xml:space="preserve">17.5%</w:t>
            </w:r>
          </w:p>
        </w:tc>
        <w:tc>
          <w:tcPr>
            <w:vAlign w:val="center"/>
          </w:tcPr>
          <w:p>
            <w:pPr>
              <w:jc w:val="center"/>
            </w:pPr>
            <w:r>
              <w:rPr>
                <w:rFonts w:ascii="微软雅黑" w:cs="微软雅黑" w:eastAsia="微软雅黑" w:hAnsi="微软雅黑"/>
                <w:b w:val="false"/>
                <w:bCs w:val="false"/>
                <w:sz w:val="18"/>
                <w:szCs w:val="18"/>
              </w:rPr>
              <w:t xml:space="preserve">增设产线2条、成本下降10%</w:t>
            </w:r>
          </w:p>
        </w:tc>
      </w:tr>
      <w:tr>
        <w:tc>
          <w:tcPr>
            <w:shd w:fill="F2F2F2" w:color="auto" w:val="clear"/>
            <w:vAlign w:val="center"/>
          </w:tcPr>
          <w:p>
            <w:pPr>
              <w:jc w:val="left"/>
            </w:pPr>
            <w:r>
              <w:rPr>
                <w:rFonts w:ascii="微软雅黑" w:cs="微软雅黑" w:eastAsia="微软雅黑" w:hAnsi="微软雅黑"/>
                <w:b w:val="false"/>
                <w:bCs w:val="false"/>
                <w:sz w:val="18"/>
                <w:szCs w:val="18"/>
              </w:rPr>
              <w:t xml:space="preserve">2029</w:t>
            </w:r>
          </w:p>
        </w:tc>
        <w:tc>
          <w:tcPr>
            <w:shd w:fill="F2F2F2" w:color="auto" w:val="clear"/>
            <w:vAlign w:val="center"/>
          </w:tcPr>
          <w:p>
            <w:pPr>
              <w:jc w:val="left"/>
            </w:pPr>
            <w:r>
              <w:rPr>
                <w:rFonts w:ascii="微软雅黑" w:cs="微软雅黑" w:eastAsia="微软雅黑" w:hAnsi="微软雅黑"/>
                <w:b w:val="false"/>
                <w:bCs w:val="false"/>
                <w:sz w:val="18"/>
                <w:szCs w:val="18"/>
              </w:rPr>
              <w:t xml:space="preserve">扩张期</w:t>
            </w:r>
          </w:p>
        </w:tc>
        <w:tc>
          <w:tcPr>
            <w:shd w:fill="F2F2F2" w:color="auto" w:val="clear"/>
            <w:vAlign w:val="center"/>
          </w:tcPr>
          <w:p>
            <w:pPr>
              <w:jc w:val="left"/>
            </w:pPr>
            <w:r>
              <w:rPr>
                <w:rFonts w:ascii="微软雅黑" w:cs="微软雅黑" w:eastAsia="微软雅黑" w:hAnsi="微软雅黑"/>
                <w:b w:val="false"/>
                <w:bCs w:val="false"/>
                <w:sz w:val="18"/>
                <w:szCs w:val="18"/>
              </w:rPr>
              <w:t xml:space="preserve">8亿</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2.6亿</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1.8亿</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32.5%</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22.5%</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全国复制，AI设计平台上线</w:t>
            </w:r>
          </w:p>
        </w:tc>
      </w:tr>
      <w:tr>
        <w:tc>
          <w:tcPr>
            <w:vAlign w:val="center"/>
          </w:tcPr>
          <w:p>
            <w:pPr>
              <w:jc w:val="left"/>
            </w:pPr>
            <w:r>
              <w:rPr>
                <w:rFonts w:ascii="微软雅黑" w:cs="微软雅黑" w:eastAsia="微软雅黑" w:hAnsi="微软雅黑"/>
                <w:b w:val="false"/>
                <w:bCs w:val="false"/>
                <w:sz w:val="18"/>
                <w:szCs w:val="18"/>
              </w:rPr>
              <w:t xml:space="preserve">2030</w:t>
            </w:r>
          </w:p>
        </w:tc>
        <w:tc>
          <w:tcPr>
            <w:vAlign w:val="center"/>
          </w:tcPr>
          <w:p>
            <w:pPr>
              <w:jc w:val="left"/>
            </w:pPr>
            <w:r>
              <w:rPr>
                <w:rFonts w:ascii="微软雅黑" w:cs="微软雅黑" w:eastAsia="微软雅黑" w:hAnsi="微软雅黑"/>
                <w:b w:val="false"/>
                <w:bCs w:val="false"/>
                <w:sz w:val="18"/>
                <w:szCs w:val="18"/>
              </w:rPr>
              <w:t xml:space="preserve">扩张期</w:t>
            </w:r>
          </w:p>
        </w:tc>
        <w:tc>
          <w:tcPr>
            <w:vAlign w:val="center"/>
          </w:tcPr>
          <w:p>
            <w:pPr>
              <w:jc w:val="left"/>
            </w:pPr>
            <w:r>
              <w:rPr>
                <w:rFonts w:ascii="微软雅黑" w:cs="微软雅黑" w:eastAsia="微软雅黑" w:hAnsi="微软雅黑"/>
                <w:b w:val="false"/>
                <w:bCs w:val="false"/>
                <w:sz w:val="18"/>
                <w:szCs w:val="18"/>
              </w:rPr>
              <w:t xml:space="preserve">25亿</w:t>
            </w:r>
          </w:p>
        </w:tc>
        <w:tc>
          <w:tcPr>
            <w:vAlign w:val="center"/>
          </w:tcPr>
          <w:p>
            <w:pPr>
              <w:jc w:val="center"/>
            </w:pPr>
            <w:r>
              <w:rPr>
                <w:rFonts w:ascii="微软雅黑" w:cs="微软雅黑" w:eastAsia="微软雅黑" w:hAnsi="微软雅黑"/>
                <w:b w:val="false"/>
                <w:bCs w:val="false"/>
                <w:sz w:val="18"/>
                <w:szCs w:val="18"/>
              </w:rPr>
              <w:t xml:space="preserve">8.5亿</w:t>
            </w:r>
          </w:p>
        </w:tc>
        <w:tc>
          <w:tcPr>
            <w:vAlign w:val="center"/>
          </w:tcPr>
          <w:p>
            <w:pPr>
              <w:jc w:val="center"/>
            </w:pPr>
            <w:r>
              <w:rPr>
                <w:rFonts w:ascii="微软雅黑" w:cs="微软雅黑" w:eastAsia="微软雅黑" w:hAnsi="微软雅黑"/>
                <w:b w:val="false"/>
                <w:bCs w:val="false"/>
                <w:sz w:val="18"/>
                <w:szCs w:val="18"/>
              </w:rPr>
              <w:t xml:space="preserve">6.5亿</w:t>
            </w:r>
          </w:p>
        </w:tc>
        <w:tc>
          <w:tcPr>
            <w:vAlign w:val="center"/>
          </w:tcPr>
          <w:p>
            <w:pPr>
              <w:jc w:val="center"/>
            </w:pPr>
            <w:r>
              <w:rPr>
                <w:rFonts w:ascii="微软雅黑" w:cs="微软雅黑" w:eastAsia="微软雅黑" w:hAnsi="微软雅黑"/>
                <w:b w:val="false"/>
                <w:bCs w:val="false"/>
                <w:sz w:val="18"/>
                <w:szCs w:val="18"/>
              </w:rPr>
              <w:t xml:space="preserve">34%</w:t>
            </w:r>
          </w:p>
        </w:tc>
        <w:tc>
          <w:tcPr>
            <w:vAlign w:val="center"/>
          </w:tcPr>
          <w:p>
            <w:pPr>
              <w:jc w:val="center"/>
            </w:pPr>
            <w:r>
              <w:rPr>
                <w:rFonts w:ascii="微软雅黑" w:cs="微软雅黑" w:eastAsia="微软雅黑" w:hAnsi="微软雅黑"/>
                <w:b w:val="false"/>
                <w:bCs w:val="false"/>
                <w:sz w:val="18"/>
                <w:szCs w:val="18"/>
              </w:rPr>
              <w:t xml:space="preserve">26%</w:t>
            </w:r>
          </w:p>
        </w:tc>
        <w:tc>
          <w:tcPr>
            <w:vAlign w:val="center"/>
          </w:tcPr>
          <w:p>
            <w:pPr>
              <w:jc w:val="center"/>
            </w:pPr>
            <w:r>
              <w:rPr>
                <w:rFonts w:ascii="微软雅黑" w:cs="微软雅黑" w:eastAsia="微软雅黑" w:hAnsi="微软雅黑"/>
                <w:b w:val="false"/>
                <w:bCs w:val="false"/>
                <w:sz w:val="18"/>
                <w:szCs w:val="18"/>
              </w:rPr>
              <w:t xml:space="preserve">模块集采体系成熟，品牌化运营</w:t>
            </w:r>
          </w:p>
        </w:tc>
      </w:tr>
      <w:tr>
        <w:tc>
          <w:tcPr>
            <w:shd w:fill="F2F2F2" w:color="auto" w:val="clear"/>
            <w:vAlign w:val="center"/>
          </w:tcPr>
          <w:p>
            <w:pPr>
              <w:jc w:val="left"/>
            </w:pPr>
            <w:r>
              <w:rPr>
                <w:rFonts w:ascii="微软雅黑" w:cs="微软雅黑" w:eastAsia="微软雅黑" w:hAnsi="微软雅黑"/>
                <w:b w:val="false"/>
                <w:bCs w:val="false"/>
                <w:sz w:val="18"/>
                <w:szCs w:val="18"/>
              </w:rPr>
              <w:t xml:space="preserve">2031</w:t>
            </w:r>
          </w:p>
        </w:tc>
        <w:tc>
          <w:tcPr>
            <w:shd w:fill="F2F2F2" w:color="auto" w:val="clear"/>
            <w:vAlign w:val="center"/>
          </w:tcPr>
          <w:p>
            <w:pPr>
              <w:jc w:val="left"/>
            </w:pPr>
            <w:r>
              <w:rPr>
                <w:rFonts w:ascii="微软雅黑" w:cs="微软雅黑" w:eastAsia="微软雅黑" w:hAnsi="微软雅黑"/>
                <w:b w:val="false"/>
                <w:bCs w:val="false"/>
                <w:sz w:val="18"/>
                <w:szCs w:val="18"/>
              </w:rPr>
              <w:t xml:space="preserve">平台期</w:t>
            </w:r>
          </w:p>
        </w:tc>
        <w:tc>
          <w:tcPr>
            <w:shd w:fill="F2F2F2" w:color="auto" w:val="clear"/>
            <w:vAlign w:val="center"/>
          </w:tcPr>
          <w:p>
            <w:pPr>
              <w:jc w:val="left"/>
            </w:pPr>
            <w:r>
              <w:rPr>
                <w:rFonts w:ascii="微软雅黑" w:cs="微软雅黑" w:eastAsia="微软雅黑" w:hAnsi="微软雅黑"/>
                <w:b w:val="false"/>
                <w:bCs w:val="false"/>
                <w:sz w:val="18"/>
                <w:szCs w:val="18"/>
              </w:rPr>
              <w:t xml:space="preserve">50亿</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17亿</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13亿</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34%</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26%</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平台交易系统与设计SaaS并行</w:t>
            </w:r>
          </w:p>
        </w:tc>
      </w:tr>
    </w:tbl>
    <w:p>
      <w:pPr>
        <w:spacing w:after="100"/>
      </w:pPr>
    </w:p>
    <w:p>
      <w:pPr>
        <w:spacing w:after="120"/>
        <w:ind w:left="480"/>
      </w:pPr>
      <w:r>
        <w:rPr>
          <w:rFonts w:ascii="微软雅黑" w:cs="微软雅黑" w:eastAsia="微软雅黑" w:hAnsi="微软雅黑"/>
          <w:b/>
          <w:bCs/>
          <w:sz w:val="21"/>
          <w:szCs w:val="21"/>
        </w:rPr>
        <w:t xml:space="preserve">单栋成本模型（河姆渡产品线，收入按60万元/栋测算）：</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4E79" w:color="auto" w:val="clear"/>
            <w:vAlign w:val="center"/>
          </w:tcPr>
          <w:p>
            <w:pPr>
              <w:jc w:val="center"/>
            </w:pPr>
            <w:r>
              <w:rPr>
                <w:rFonts w:ascii="微软雅黑" w:cs="微软雅黑" w:eastAsia="微软雅黑" w:hAnsi="微软雅黑"/>
                <w:b/>
                <w:bCs/>
                <w:color w:val="FFFFFF"/>
                <w:sz w:val="18"/>
                <w:szCs w:val="18"/>
              </w:rPr>
              <w:t xml:space="preserve">项目</w:t>
            </w:r>
          </w:p>
        </w:tc>
        <w:tc>
          <w:tcPr>
            <w:shd w:fill="1F4E79" w:color="auto" w:val="clear"/>
            <w:vAlign w:val="center"/>
          </w:tcPr>
          <w:p>
            <w:pPr>
              <w:jc w:val="center"/>
            </w:pPr>
            <w:r>
              <w:rPr>
                <w:rFonts w:ascii="微软雅黑" w:cs="微软雅黑" w:eastAsia="微软雅黑" w:hAnsi="微软雅黑"/>
                <w:b/>
                <w:bCs/>
                <w:color w:val="FFFFFF"/>
                <w:sz w:val="18"/>
                <w:szCs w:val="18"/>
              </w:rPr>
              <w:t xml:space="preserve">200栋项目
（元/栋）</w:t>
            </w:r>
          </w:p>
        </w:tc>
        <w:tc>
          <w:tcPr>
            <w:shd w:fill="1F4E79" w:color="auto" w:val="clear"/>
            <w:vAlign w:val="center"/>
          </w:tcPr>
          <w:p>
            <w:pPr>
              <w:jc w:val="center"/>
            </w:pPr>
            <w:r>
              <w:rPr>
                <w:rFonts w:ascii="微软雅黑" w:cs="微软雅黑" w:eastAsia="微软雅黑" w:hAnsi="微软雅黑"/>
                <w:b/>
                <w:bCs/>
                <w:color w:val="FFFFFF"/>
                <w:sz w:val="18"/>
                <w:szCs w:val="18"/>
              </w:rPr>
              <w:t xml:space="preserve">1,000栋项目
（元/栋）</w:t>
            </w:r>
          </w:p>
        </w:tc>
        <w:tc>
          <w:tcPr>
            <w:shd w:fill="1F4E79" w:color="auto" w:val="clear"/>
            <w:vAlign w:val="center"/>
          </w:tcPr>
          <w:p>
            <w:pPr>
              <w:jc w:val="center"/>
            </w:pPr>
            <w:r>
              <w:rPr>
                <w:rFonts w:ascii="微软雅黑" w:cs="微软雅黑" w:eastAsia="微软雅黑" w:hAnsi="微软雅黑"/>
                <w:b/>
                <w:bCs/>
                <w:color w:val="FFFFFF"/>
                <w:sz w:val="18"/>
                <w:szCs w:val="18"/>
              </w:rPr>
              <w:t xml:space="preserve">10,000栋项目
（元/栋）</w:t>
            </w:r>
          </w:p>
        </w:tc>
        <w:tc>
          <w:tcPr>
            <w:shd w:fill="1F4E79" w:color="auto" w:val="clear"/>
            <w:vAlign w:val="center"/>
          </w:tcPr>
          <w:p>
            <w:pPr>
              <w:jc w:val="center"/>
            </w:pPr>
            <w:r>
              <w:rPr>
                <w:rFonts w:ascii="微软雅黑" w:cs="微软雅黑" w:eastAsia="微软雅黑" w:hAnsi="微软雅黑"/>
                <w:b/>
                <w:bCs/>
                <w:color w:val="FFFFFF"/>
                <w:sz w:val="18"/>
                <w:szCs w:val="18"/>
              </w:rPr>
              <w:t xml:space="preserve">说明</w:t>
            </w:r>
          </w:p>
        </w:tc>
      </w:tr>
      <w:tr>
        <w:tc>
          <w:tcPr>
            <w:vAlign w:val="center"/>
          </w:tcPr>
          <w:p>
            <w:pPr>
              <w:jc w:val="left"/>
            </w:pPr>
            <w:r>
              <w:rPr>
                <w:rFonts w:ascii="微软雅黑" w:cs="微软雅黑" w:eastAsia="微软雅黑" w:hAnsi="微软雅黑"/>
                <w:b w:val="false"/>
                <w:bCs w:val="false"/>
                <w:sz w:val="18"/>
                <w:szCs w:val="18"/>
              </w:rPr>
              <w:t xml:space="preserve">模块制造材料</w:t>
            </w:r>
          </w:p>
        </w:tc>
        <w:tc>
          <w:tcPr>
            <w:vAlign w:val="center"/>
          </w:tcPr>
          <w:p>
            <w:pPr>
              <w:jc w:val="center"/>
            </w:pPr>
            <w:r>
              <w:rPr>
                <w:rFonts w:ascii="微软雅黑" w:cs="微软雅黑" w:eastAsia="微软雅黑" w:hAnsi="微软雅黑"/>
                <w:b w:val="false"/>
                <w:bCs w:val="false"/>
                <w:sz w:val="18"/>
                <w:szCs w:val="18"/>
              </w:rPr>
              <w:t xml:space="preserve">215,000</w:t>
            </w:r>
          </w:p>
        </w:tc>
        <w:tc>
          <w:tcPr>
            <w:vAlign w:val="center"/>
          </w:tcPr>
          <w:p>
            <w:pPr>
              <w:jc w:val="center"/>
            </w:pPr>
            <w:r>
              <w:rPr>
                <w:rFonts w:ascii="微软雅黑" w:cs="微软雅黑" w:eastAsia="微软雅黑" w:hAnsi="微软雅黑"/>
                <w:b w:val="false"/>
                <w:bCs w:val="false"/>
                <w:sz w:val="18"/>
                <w:szCs w:val="18"/>
              </w:rPr>
              <w:t xml:space="preserve">190,000</w:t>
            </w:r>
          </w:p>
        </w:tc>
        <w:tc>
          <w:tcPr>
            <w:vAlign w:val="center"/>
          </w:tcPr>
          <w:p>
            <w:pPr>
              <w:jc w:val="center"/>
            </w:pPr>
            <w:r>
              <w:rPr>
                <w:rFonts w:ascii="微软雅黑" w:cs="微软雅黑" w:eastAsia="微软雅黑" w:hAnsi="微软雅黑"/>
                <w:b w:val="false"/>
                <w:bCs w:val="false"/>
                <w:sz w:val="18"/>
                <w:szCs w:val="18"/>
              </w:rPr>
              <w:t xml:space="preserve">168,000</w:t>
            </w:r>
          </w:p>
        </w:tc>
        <w:tc>
          <w:tcPr>
            <w:vAlign w:val="center"/>
          </w:tcPr>
          <w:p>
            <w:pPr>
              <w:jc w:val="left"/>
            </w:pPr>
            <w:r>
              <w:rPr>
                <w:rFonts w:ascii="微软雅黑" w:cs="微软雅黑" w:eastAsia="微软雅黑" w:hAnsi="微软雅黑"/>
                <w:b w:val="false"/>
                <w:bCs w:val="false"/>
                <w:sz w:val="18"/>
                <w:szCs w:val="18"/>
              </w:rPr>
              <w:t xml:space="preserve">龙骨、结构板、防潮板等</w:t>
            </w:r>
          </w:p>
        </w:tc>
      </w:tr>
      <w:tr>
        <w:tc>
          <w:tcPr>
            <w:shd w:fill="F2F2F2" w:color="auto" w:val="clear"/>
            <w:vAlign w:val="center"/>
          </w:tcPr>
          <w:p>
            <w:pPr>
              <w:jc w:val="left"/>
            </w:pPr>
            <w:r>
              <w:rPr>
                <w:rFonts w:ascii="微软雅黑" w:cs="微软雅黑" w:eastAsia="微软雅黑" w:hAnsi="微软雅黑"/>
                <w:b w:val="false"/>
                <w:bCs w:val="false"/>
                <w:sz w:val="18"/>
                <w:szCs w:val="18"/>
              </w:rPr>
              <w:t xml:space="preserve">模块工厂人工与装配</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47,000</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34,000</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24,000</w:t>
            </w:r>
          </w:p>
        </w:tc>
        <w:tc>
          <w:tcPr>
            <w:shd w:fill="F2F2F2" w:color="auto" w:val="clear"/>
            <w:vAlign w:val="center"/>
          </w:tcPr>
          <w:p>
            <w:pPr>
              <w:jc w:val="left"/>
            </w:pPr>
            <w:r>
              <w:rPr>
                <w:rFonts w:ascii="微软雅黑" w:cs="微软雅黑" w:eastAsia="微软雅黑" w:hAnsi="微软雅黑"/>
                <w:b w:val="false"/>
                <w:bCs w:val="false"/>
                <w:sz w:val="18"/>
                <w:szCs w:val="18"/>
              </w:rPr>
              <w:t xml:space="preserve">焊接、装配、质检等</w:t>
            </w:r>
          </w:p>
        </w:tc>
      </w:tr>
      <w:tr>
        <w:tc>
          <w:tcPr>
            <w:vAlign w:val="center"/>
          </w:tcPr>
          <w:p>
            <w:pPr>
              <w:jc w:val="left"/>
            </w:pPr>
            <w:r>
              <w:rPr>
                <w:rFonts w:ascii="微软雅黑" w:cs="微软雅黑" w:eastAsia="微软雅黑" w:hAnsi="微软雅黑"/>
                <w:b w:val="false"/>
                <w:bCs w:val="false"/>
                <w:sz w:val="18"/>
                <w:szCs w:val="18"/>
              </w:rPr>
              <w:t xml:space="preserve">内装材料（简装级）</w:t>
            </w:r>
          </w:p>
        </w:tc>
        <w:tc>
          <w:tcPr>
            <w:vAlign w:val="center"/>
          </w:tcPr>
          <w:p>
            <w:pPr>
              <w:jc w:val="center"/>
            </w:pPr>
            <w:r>
              <w:rPr>
                <w:rFonts w:ascii="微软雅黑" w:cs="微软雅黑" w:eastAsia="微软雅黑" w:hAnsi="微软雅黑"/>
                <w:b w:val="false"/>
                <w:bCs w:val="false"/>
                <w:sz w:val="18"/>
                <w:szCs w:val="18"/>
              </w:rPr>
              <w:t xml:space="preserve">73,000</w:t>
            </w:r>
          </w:p>
        </w:tc>
        <w:tc>
          <w:tcPr>
            <w:vAlign w:val="center"/>
          </w:tcPr>
          <w:p>
            <w:pPr>
              <w:jc w:val="center"/>
            </w:pPr>
            <w:r>
              <w:rPr>
                <w:rFonts w:ascii="微软雅黑" w:cs="微软雅黑" w:eastAsia="微软雅黑" w:hAnsi="微软雅黑"/>
                <w:b w:val="false"/>
                <w:bCs w:val="false"/>
                <w:sz w:val="18"/>
                <w:szCs w:val="18"/>
              </w:rPr>
              <w:t xml:space="preserve">68,000</w:t>
            </w:r>
          </w:p>
        </w:tc>
        <w:tc>
          <w:tcPr>
            <w:vAlign w:val="center"/>
          </w:tcPr>
          <w:p>
            <w:pPr>
              <w:jc w:val="center"/>
            </w:pPr>
            <w:r>
              <w:rPr>
                <w:rFonts w:ascii="微软雅黑" w:cs="微软雅黑" w:eastAsia="微软雅黑" w:hAnsi="微软雅黑"/>
                <w:b w:val="false"/>
                <w:bCs w:val="false"/>
                <w:sz w:val="18"/>
                <w:szCs w:val="18"/>
              </w:rPr>
              <w:t xml:space="preserve">56,000</w:t>
            </w:r>
          </w:p>
        </w:tc>
        <w:tc>
          <w:tcPr>
            <w:vAlign w:val="center"/>
          </w:tcPr>
          <w:p>
            <w:pPr>
              <w:jc w:val="left"/>
            </w:pPr>
            <w:r>
              <w:rPr>
                <w:rFonts w:ascii="微软雅黑" w:cs="微软雅黑" w:eastAsia="微软雅黑" w:hAnsi="微软雅黑"/>
                <w:b w:val="false"/>
                <w:bCs w:val="false"/>
                <w:sz w:val="18"/>
                <w:szCs w:val="18"/>
              </w:rPr>
              <w:t xml:space="preserve">乳胶漆、地砖、卫浴、门窗</w:t>
            </w:r>
          </w:p>
        </w:tc>
      </w:tr>
      <w:tr>
        <w:tc>
          <w:tcPr>
            <w:shd w:fill="F2F2F2" w:color="auto" w:val="clear"/>
            <w:vAlign w:val="center"/>
          </w:tcPr>
          <w:p>
            <w:pPr>
              <w:jc w:val="left"/>
            </w:pPr>
            <w:r>
              <w:rPr>
                <w:rFonts w:ascii="微软雅黑" w:cs="微软雅黑" w:eastAsia="微软雅黑" w:hAnsi="微软雅黑"/>
                <w:b w:val="false"/>
                <w:bCs w:val="false"/>
                <w:sz w:val="18"/>
                <w:szCs w:val="18"/>
              </w:rPr>
              <w:t xml:space="preserve">运输与吊装</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18,000</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14,000</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7,500</w:t>
            </w:r>
          </w:p>
        </w:tc>
        <w:tc>
          <w:tcPr>
            <w:shd w:fill="F2F2F2" w:color="auto" w:val="clear"/>
            <w:vAlign w:val="center"/>
          </w:tcPr>
          <w:p>
            <w:pPr>
              <w:jc w:val="left"/>
            </w:pPr>
            <w:r>
              <w:rPr>
                <w:rFonts w:ascii="微软雅黑" w:cs="微软雅黑" w:eastAsia="微软雅黑" w:hAnsi="微软雅黑"/>
                <w:b w:val="false"/>
                <w:bCs w:val="false"/>
                <w:sz w:val="18"/>
                <w:szCs w:val="18"/>
              </w:rPr>
              <w:t xml:space="preserve">平板车运输+25吨吊机吊装</w:t>
            </w:r>
          </w:p>
        </w:tc>
      </w:tr>
      <w:tr>
        <w:tc>
          <w:tcPr>
            <w:vAlign w:val="center"/>
          </w:tcPr>
          <w:p>
            <w:pPr>
              <w:jc w:val="left"/>
            </w:pPr>
            <w:r>
              <w:rPr>
                <w:rFonts w:ascii="微软雅黑" w:cs="微软雅黑" w:eastAsia="微软雅黑" w:hAnsi="微软雅黑"/>
                <w:b w:val="false"/>
                <w:bCs w:val="false"/>
                <w:sz w:val="18"/>
                <w:szCs w:val="18"/>
              </w:rPr>
              <w:t xml:space="preserve">现场拼装与调试</w:t>
            </w:r>
          </w:p>
        </w:tc>
        <w:tc>
          <w:tcPr>
            <w:vAlign w:val="center"/>
          </w:tcPr>
          <w:p>
            <w:pPr>
              <w:jc w:val="center"/>
            </w:pPr>
            <w:r>
              <w:rPr>
                <w:rFonts w:ascii="微软雅黑" w:cs="微软雅黑" w:eastAsia="微软雅黑" w:hAnsi="微软雅黑"/>
                <w:b w:val="false"/>
                <w:bCs w:val="false"/>
                <w:sz w:val="18"/>
                <w:szCs w:val="18"/>
              </w:rPr>
              <w:t xml:space="preserve">15,000</w:t>
            </w:r>
          </w:p>
        </w:tc>
        <w:tc>
          <w:tcPr>
            <w:vAlign w:val="center"/>
          </w:tcPr>
          <w:p>
            <w:pPr>
              <w:jc w:val="center"/>
            </w:pPr>
            <w:r>
              <w:rPr>
                <w:rFonts w:ascii="微软雅黑" w:cs="微软雅黑" w:eastAsia="微软雅黑" w:hAnsi="微软雅黑"/>
                <w:b w:val="false"/>
                <w:bCs w:val="false"/>
                <w:sz w:val="18"/>
                <w:szCs w:val="18"/>
              </w:rPr>
              <w:t xml:space="preserve">10,000</w:t>
            </w:r>
          </w:p>
        </w:tc>
        <w:tc>
          <w:tcPr>
            <w:vAlign w:val="center"/>
          </w:tcPr>
          <w:p>
            <w:pPr>
              <w:jc w:val="center"/>
            </w:pPr>
            <w:r>
              <w:rPr>
                <w:rFonts w:ascii="微软雅黑" w:cs="微软雅黑" w:eastAsia="微软雅黑" w:hAnsi="微软雅黑"/>
                <w:b w:val="false"/>
                <w:bCs w:val="false"/>
                <w:sz w:val="18"/>
                <w:szCs w:val="18"/>
              </w:rPr>
              <w:t xml:space="preserve">6,000</w:t>
            </w:r>
          </w:p>
        </w:tc>
        <w:tc>
          <w:tcPr>
            <w:vAlign w:val="center"/>
          </w:tcPr>
          <w:p>
            <w:pPr>
              <w:jc w:val="left"/>
            </w:pPr>
            <w:r>
              <w:rPr>
                <w:rFonts w:ascii="微软雅黑" w:cs="微软雅黑" w:eastAsia="微软雅黑" w:hAnsi="微软雅黑"/>
                <w:b w:val="false"/>
                <w:bCs w:val="false"/>
                <w:sz w:val="18"/>
                <w:szCs w:val="18"/>
              </w:rPr>
              <w:t xml:space="preserve">模块拼接、管线连接、调试</w:t>
            </w:r>
          </w:p>
        </w:tc>
      </w:tr>
      <w:tr>
        <w:tc>
          <w:tcPr>
            <w:shd w:fill="F2F2F2" w:color="auto" w:val="clear"/>
            <w:vAlign w:val="center"/>
          </w:tcPr>
          <w:p>
            <w:pPr>
              <w:jc w:val="left"/>
            </w:pPr>
            <w:r>
              <w:rPr>
                <w:rFonts w:ascii="微软雅黑" w:cs="微软雅黑" w:eastAsia="微软雅黑" w:hAnsi="微软雅黑"/>
                <w:b w:val="false"/>
                <w:bCs w:val="false"/>
                <w:sz w:val="18"/>
                <w:szCs w:val="18"/>
              </w:rPr>
              <w:t xml:space="preserve">设计与项目管理</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11,000</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6,000</w:t>
            </w:r>
          </w:p>
        </w:tc>
        <w:tc>
          <w:tcPr>
            <w:shd w:fill="F2F2F2" w:color="auto" w:val="clear"/>
            <w:vAlign w:val="center"/>
          </w:tcPr>
          <w:p>
            <w:pPr>
              <w:jc w:val="center"/>
            </w:pPr>
            <w:r>
              <w:rPr>
                <w:rFonts w:ascii="微软雅黑" w:cs="微软雅黑" w:eastAsia="微软雅黑" w:hAnsi="微软雅黑"/>
                <w:b w:val="false"/>
                <w:bCs w:val="false"/>
                <w:sz w:val="18"/>
                <w:szCs w:val="18"/>
              </w:rPr>
              <w:t xml:space="preserve">2,800</w:t>
            </w:r>
          </w:p>
        </w:tc>
        <w:tc>
          <w:tcPr>
            <w:shd w:fill="F2F2F2" w:color="auto" w:val="clear"/>
            <w:vAlign w:val="center"/>
          </w:tcPr>
          <w:p>
            <w:pPr>
              <w:jc w:val="left"/>
            </w:pPr>
            <w:r>
              <w:rPr>
                <w:rFonts w:ascii="微软雅黑" w:cs="微软雅黑" w:eastAsia="微软雅黑" w:hAnsi="微软雅黑"/>
                <w:b w:val="false"/>
                <w:bCs w:val="false"/>
                <w:sz w:val="18"/>
                <w:szCs w:val="18"/>
              </w:rPr>
              <w:t xml:space="preserve">BIM绘制、项目管理人员</w:t>
            </w:r>
          </w:p>
        </w:tc>
      </w:tr>
      <w:tr>
        <w:tc>
          <w:tcPr>
            <w:shd w:fill="E8F0FE" w:color="auto" w:val="clear"/>
            <w:vAlign w:val="center"/>
          </w:tcPr>
          <w:p>
            <w:pPr>
              <w:jc w:val="left"/>
            </w:pPr>
            <w:r>
              <w:rPr>
                <w:rFonts w:ascii="微软雅黑" w:cs="微软雅黑" w:eastAsia="微软雅黑" w:hAnsi="微软雅黑"/>
                <w:b/>
                <w:bCs/>
                <w:sz w:val="18"/>
                <w:szCs w:val="18"/>
              </w:rPr>
              <w:t xml:space="preserve">总成本</w:t>
            </w:r>
          </w:p>
        </w:tc>
        <w:tc>
          <w:tcPr>
            <w:shd w:fill="E8F0FE" w:color="auto" w:val="clear"/>
            <w:vAlign w:val="center"/>
          </w:tcPr>
          <w:p>
            <w:pPr>
              <w:jc w:val="center"/>
            </w:pPr>
            <w:r>
              <w:rPr>
                <w:rFonts w:ascii="微软雅黑" w:cs="微软雅黑" w:eastAsia="微软雅黑" w:hAnsi="微软雅黑"/>
                <w:b/>
                <w:bCs/>
                <w:sz w:val="18"/>
                <w:szCs w:val="18"/>
              </w:rPr>
              <w:t xml:space="preserve">408,000</w:t>
            </w:r>
          </w:p>
        </w:tc>
        <w:tc>
          <w:tcPr>
            <w:shd w:fill="E8F0FE" w:color="auto" w:val="clear"/>
            <w:vAlign w:val="center"/>
          </w:tcPr>
          <w:p>
            <w:pPr>
              <w:jc w:val="center"/>
            </w:pPr>
            <w:r>
              <w:rPr>
                <w:rFonts w:ascii="微软雅黑" w:cs="微软雅黑" w:eastAsia="微软雅黑" w:hAnsi="微软雅黑"/>
                <w:b/>
                <w:bCs/>
                <w:sz w:val="18"/>
                <w:szCs w:val="18"/>
              </w:rPr>
              <w:t xml:space="preserve">343,500</w:t>
            </w:r>
          </w:p>
        </w:tc>
        <w:tc>
          <w:tcPr>
            <w:shd w:fill="E8F0FE" w:color="auto" w:val="clear"/>
            <w:vAlign w:val="center"/>
          </w:tcPr>
          <w:p>
            <w:pPr>
              <w:jc w:val="center"/>
            </w:pPr>
            <w:r>
              <w:rPr>
                <w:rFonts w:ascii="微软雅黑" w:cs="微软雅黑" w:eastAsia="微软雅黑" w:hAnsi="微软雅黑"/>
                <w:b/>
                <w:bCs/>
                <w:sz w:val="18"/>
                <w:szCs w:val="18"/>
              </w:rPr>
              <w:t xml:space="preserve">277,300</w:t>
            </w:r>
          </w:p>
        </w:tc>
        <w:tc>
          <w:tcPr>
            <w:shd w:fill="E8F0FE" w:color="auto" w:val="clear"/>
            <w:vAlign w:val="center"/>
          </w:tcPr>
          <w:p>
            <w:pPr>
              <w:jc w:val="left"/>
            </w:pPr>
            <w:r>
              <w:rPr>
                <w:rFonts w:ascii="微软雅黑" w:cs="微软雅黑" w:eastAsia="微软雅黑" w:hAnsi="微软雅黑"/>
                <w:b/>
                <w:bCs/>
                <w:sz w:val="18"/>
                <w:szCs w:val="18"/>
              </w:rPr>
              <w:t xml:space="preserve">—</w:t>
            </w:r>
          </w:p>
        </w:tc>
      </w:tr>
      <w:tr>
        <w:tc>
          <w:tcPr>
            <w:shd w:fill="E8F0FE" w:color="auto" w:val="clear"/>
            <w:vAlign w:val="center"/>
          </w:tcPr>
          <w:p>
            <w:pPr>
              <w:jc w:val="left"/>
            </w:pPr>
            <w:r>
              <w:rPr>
                <w:rFonts w:ascii="微软雅黑" w:cs="微软雅黑" w:eastAsia="微软雅黑" w:hAnsi="微软雅黑"/>
                <w:b/>
                <w:bCs/>
                <w:sz w:val="18"/>
                <w:szCs w:val="18"/>
              </w:rPr>
              <w:t xml:space="preserve">毛利润</w:t>
            </w:r>
          </w:p>
        </w:tc>
        <w:tc>
          <w:tcPr>
            <w:shd w:fill="E8F0FE" w:color="auto" w:val="clear"/>
            <w:vAlign w:val="center"/>
          </w:tcPr>
          <w:p>
            <w:pPr>
              <w:jc w:val="center"/>
            </w:pPr>
            <w:r>
              <w:rPr>
                <w:rFonts w:ascii="微软雅黑" w:cs="微软雅黑" w:eastAsia="微软雅黑" w:hAnsi="微软雅黑"/>
                <w:b/>
                <w:bCs/>
                <w:sz w:val="18"/>
                <w:szCs w:val="18"/>
              </w:rPr>
              <w:t xml:space="preserve">192,000</w:t>
            </w:r>
          </w:p>
        </w:tc>
        <w:tc>
          <w:tcPr>
            <w:shd w:fill="E8F0FE" w:color="auto" w:val="clear"/>
            <w:vAlign w:val="center"/>
          </w:tcPr>
          <w:p>
            <w:pPr>
              <w:jc w:val="center"/>
            </w:pPr>
            <w:r>
              <w:rPr>
                <w:rFonts w:ascii="微软雅黑" w:cs="微软雅黑" w:eastAsia="微软雅黑" w:hAnsi="微软雅黑"/>
                <w:b/>
                <w:bCs/>
                <w:sz w:val="18"/>
                <w:szCs w:val="18"/>
              </w:rPr>
              <w:t xml:space="preserve">256,500</w:t>
            </w:r>
          </w:p>
        </w:tc>
        <w:tc>
          <w:tcPr>
            <w:shd w:fill="E8F0FE" w:color="auto" w:val="clear"/>
            <w:vAlign w:val="center"/>
          </w:tcPr>
          <w:p>
            <w:pPr>
              <w:jc w:val="center"/>
            </w:pPr>
            <w:r>
              <w:rPr>
                <w:rFonts w:ascii="微软雅黑" w:cs="微软雅黑" w:eastAsia="微软雅黑" w:hAnsi="微软雅黑"/>
                <w:b/>
                <w:bCs/>
                <w:sz w:val="18"/>
                <w:szCs w:val="18"/>
              </w:rPr>
              <w:t xml:space="preserve">322,700</w:t>
            </w:r>
          </w:p>
        </w:tc>
        <w:tc>
          <w:tcPr>
            <w:shd w:fill="E8F0FE" w:color="auto" w:val="clear"/>
            <w:vAlign w:val="center"/>
          </w:tcPr>
          <w:p>
            <w:pPr>
              <w:jc w:val="left"/>
            </w:pPr>
            <w:r>
              <w:rPr>
                <w:rFonts w:ascii="微软雅黑" w:cs="微软雅黑" w:eastAsia="微软雅黑" w:hAnsi="微软雅黑"/>
                <w:b/>
                <w:bCs/>
                <w:sz w:val="18"/>
                <w:szCs w:val="18"/>
              </w:rPr>
              <w:t xml:space="preserve">收入-总成本</w:t>
            </w:r>
          </w:p>
        </w:tc>
      </w:tr>
      <w:tr>
        <w:tc>
          <w:tcPr>
            <w:shd w:fill="E8F0FE" w:color="auto" w:val="clear"/>
            <w:vAlign w:val="center"/>
          </w:tcPr>
          <w:p>
            <w:pPr>
              <w:jc w:val="left"/>
            </w:pPr>
            <w:r>
              <w:rPr>
                <w:rFonts w:ascii="微软雅黑" w:cs="微软雅黑" w:eastAsia="微软雅黑" w:hAnsi="微软雅黑"/>
                <w:b/>
                <w:bCs/>
                <w:sz w:val="18"/>
                <w:szCs w:val="18"/>
              </w:rPr>
              <w:t xml:space="preserve">净利润（税前）</w:t>
            </w:r>
          </w:p>
        </w:tc>
        <w:tc>
          <w:tcPr>
            <w:shd w:fill="E8F0FE" w:color="auto" w:val="clear"/>
            <w:vAlign w:val="center"/>
          </w:tcPr>
          <w:p>
            <w:pPr>
              <w:jc w:val="center"/>
            </w:pPr>
            <w:r>
              <w:rPr>
                <w:rFonts w:ascii="微软雅黑" w:cs="微软雅黑" w:eastAsia="微软雅黑" w:hAnsi="微软雅黑"/>
                <w:b/>
                <w:bCs/>
                <w:sz w:val="18"/>
                <w:szCs w:val="18"/>
              </w:rPr>
              <w:t xml:space="preserve">142,000</w:t>
            </w:r>
          </w:p>
        </w:tc>
        <w:tc>
          <w:tcPr>
            <w:shd w:fill="E8F0FE" w:color="auto" w:val="clear"/>
            <w:vAlign w:val="center"/>
          </w:tcPr>
          <w:p>
            <w:pPr>
              <w:jc w:val="center"/>
            </w:pPr>
            <w:r>
              <w:rPr>
                <w:rFonts w:ascii="微软雅黑" w:cs="微软雅黑" w:eastAsia="微软雅黑" w:hAnsi="微软雅黑"/>
                <w:b/>
                <w:bCs/>
                <w:sz w:val="18"/>
                <w:szCs w:val="18"/>
              </w:rPr>
              <w:t xml:space="preserve">224,500</w:t>
            </w:r>
          </w:p>
        </w:tc>
        <w:tc>
          <w:tcPr>
            <w:shd w:fill="E8F0FE" w:color="auto" w:val="clear"/>
            <w:vAlign w:val="center"/>
          </w:tcPr>
          <w:p>
            <w:pPr>
              <w:jc w:val="center"/>
            </w:pPr>
            <w:r>
              <w:rPr>
                <w:rFonts w:ascii="微软雅黑" w:cs="微软雅黑" w:eastAsia="微软雅黑" w:hAnsi="微软雅黑"/>
                <w:b/>
                <w:bCs/>
                <w:sz w:val="18"/>
                <w:szCs w:val="18"/>
              </w:rPr>
              <w:t xml:space="preserve">300,300</w:t>
            </w:r>
          </w:p>
        </w:tc>
        <w:tc>
          <w:tcPr>
            <w:shd w:fill="E8F0FE" w:color="auto" w:val="clear"/>
            <w:vAlign w:val="center"/>
          </w:tcPr>
          <w:p>
            <w:pPr>
              <w:jc w:val="left"/>
            </w:pPr>
            <w:r>
              <w:rPr>
                <w:rFonts w:ascii="微软雅黑" w:cs="微软雅黑" w:eastAsia="微软雅黑" w:hAnsi="微软雅黑"/>
                <w:b/>
                <w:bCs/>
                <w:sz w:val="18"/>
                <w:szCs w:val="18"/>
              </w:rPr>
              <w:t xml:space="preserve">毛利-管理费，反映实际收益</w:t>
            </w:r>
          </w:p>
        </w:tc>
      </w:tr>
      <w:tr>
        <w:tc>
          <w:tcPr>
            <w:shd w:fill="E8F0FE" w:color="auto" w:val="clear"/>
            <w:vAlign w:val="center"/>
          </w:tcPr>
          <w:p>
            <w:pPr>
              <w:jc w:val="left"/>
            </w:pPr>
            <w:r>
              <w:rPr>
                <w:rFonts w:ascii="微软雅黑" w:cs="微软雅黑" w:eastAsia="微软雅黑" w:hAnsi="微软雅黑"/>
                <w:b/>
                <w:bCs/>
                <w:sz w:val="18"/>
                <w:szCs w:val="18"/>
              </w:rPr>
              <w:t xml:space="preserve">净利率（税前）</w:t>
            </w:r>
          </w:p>
        </w:tc>
        <w:tc>
          <w:tcPr>
            <w:shd w:fill="E8F0FE" w:color="auto" w:val="clear"/>
            <w:vAlign w:val="center"/>
          </w:tcPr>
          <w:p>
            <w:pPr>
              <w:jc w:val="center"/>
            </w:pPr>
            <w:r>
              <w:rPr>
                <w:rFonts w:ascii="微软雅黑" w:cs="微软雅黑" w:eastAsia="微软雅黑" w:hAnsi="微软雅黑"/>
                <w:b/>
                <w:bCs/>
                <w:sz w:val="18"/>
                <w:szCs w:val="18"/>
              </w:rPr>
              <w:t xml:space="preserve">23.67%</w:t>
            </w:r>
          </w:p>
        </w:tc>
        <w:tc>
          <w:tcPr>
            <w:shd w:fill="E8F0FE" w:color="auto" w:val="clear"/>
            <w:vAlign w:val="center"/>
          </w:tcPr>
          <w:p>
            <w:pPr>
              <w:jc w:val="center"/>
            </w:pPr>
            <w:r>
              <w:rPr>
                <w:rFonts w:ascii="微软雅黑" w:cs="微软雅黑" w:eastAsia="微软雅黑" w:hAnsi="微软雅黑"/>
                <w:b/>
                <w:bCs/>
                <w:sz w:val="18"/>
                <w:szCs w:val="18"/>
              </w:rPr>
              <w:t xml:space="preserve">37.42%</w:t>
            </w:r>
          </w:p>
        </w:tc>
        <w:tc>
          <w:tcPr>
            <w:shd w:fill="E8F0FE" w:color="auto" w:val="clear"/>
            <w:vAlign w:val="center"/>
          </w:tcPr>
          <w:p>
            <w:pPr>
              <w:jc w:val="center"/>
            </w:pPr>
            <w:r>
              <w:rPr>
                <w:rFonts w:ascii="微软雅黑" w:cs="微软雅黑" w:eastAsia="微软雅黑" w:hAnsi="微软雅黑"/>
                <w:b/>
                <w:bCs/>
                <w:sz w:val="18"/>
                <w:szCs w:val="18"/>
              </w:rPr>
              <w:t xml:space="preserve">50.05%</w:t>
            </w:r>
          </w:p>
        </w:tc>
        <w:tc>
          <w:tcPr>
            <w:shd w:fill="E8F0FE" w:color="auto" w:val="clear"/>
            <w:vAlign w:val="center"/>
          </w:tcPr>
          <w:p>
            <w:pPr>
              <w:jc w:val="left"/>
            </w:pPr>
            <w:r>
              <w:rPr>
                <w:rFonts w:ascii="微软雅黑" w:cs="微软雅黑" w:eastAsia="微软雅黑" w:hAnsi="微软雅黑"/>
                <w:b/>
                <w:bCs/>
                <w:sz w:val="18"/>
                <w:szCs w:val="18"/>
              </w:rPr>
              <w:t xml:space="preserve">规模效应显著</w:t>
            </w:r>
          </w:p>
        </w:tc>
      </w:tr>
    </w:tbl>
    <w:p>
      <w:pPr>
        <w:spacing w:after="100"/>
      </w:pPr>
    </w:p>
    <w:p>
      <w:pPr>
        <w:spacing w:after="120"/>
        <w:ind w:left="480"/>
      </w:pPr>
      <w:r>
        <w:rPr>
          <w:rFonts w:ascii="微软雅黑" w:cs="微软雅黑" w:eastAsia="微软雅黑" w:hAnsi="微软雅黑"/>
          <w:b w:val="false"/>
          <w:bCs w:val="false"/>
          <w:sz w:val="21"/>
          <w:szCs w:val="21"/>
        </w:rPr>
        <w:t xml:space="preserve">注：以上财务预测均为公司管理层提供，未经独立第三方审计或验证。公司目前已签约收入仅100万元（海南东方项目），中长期预测存在较大不确定性。</w:t>
      </w:r>
    </w:p>
    <w:p>
      <w:pPr>
        <w:spacing w:after="200" w:before="360"/>
      </w:pPr>
      <w:r>
        <w:rPr>
          <w:rFonts w:ascii="微软雅黑" w:cs="微软雅黑" w:eastAsia="微软雅黑" w:hAnsi="微软雅黑"/>
          <w:b/>
          <w:bCs/>
          <w:sz w:val="24"/>
          <w:szCs w:val="24"/>
        </w:rPr>
        <w:t xml:space="preserve">投资亮点：</w:t>
      </w:r>
    </w:p>
    <w:p>
      <w:pPr>
        <w:spacing w:after="120"/>
        <w:ind w:left="480"/>
      </w:pPr>
      <w:r>
        <w:rPr>
          <w:rFonts w:ascii="微软雅黑" w:cs="微软雅黑" w:eastAsia="微软雅黑" w:hAnsi="微软雅黑"/>
          <w:b w:val="false"/>
          <w:bCs w:val="false"/>
          <w:sz w:val="21"/>
          <w:szCs w:val="21"/>
        </w:rPr>
        <w:t xml:space="preserve">- 创始团队清华背景深厚，16人团队中8人清华背景。CEO山中龙行兼具日本国际化视野与科技消费品市场全链路经验，联合创始人秦天汭拥有携程/文远知行/蔚来/岚图等多行业跨界AI产品能力，联合创始人高木竜男具备清华建筑学院专业背景及丰富的装配式建筑设计经验。团队结构覆盖建筑全链条关键岗位。</w:t>
      </w:r>
    </w:p>
    <w:p>
      <w:pPr>
        <w:spacing w:after="120"/>
        <w:ind w:left="480"/>
      </w:pPr>
      <w:r>
        <w:rPr>
          <w:rFonts w:ascii="微软雅黑" w:cs="微软雅黑" w:eastAsia="微软雅黑" w:hAnsi="微软雅黑"/>
          <w:b w:val="false"/>
          <w:bCs w:val="false"/>
          <w:sz w:val="21"/>
          <w:szCs w:val="21"/>
        </w:rPr>
        <w:t xml:space="preserve">- 孵化自拥有20年经验的传统装配式建筑公司，创始团队已在中国及日本交付超2000所装配式建筑（涵盖度假村、森林公园、公寓、酒店等多种业态），项目落地能力和建筑行业资源已得到充分验证，非从零起步的纯技术团队。</w:t>
      </w:r>
    </w:p>
    <w:p>
      <w:pPr>
        <w:spacing w:after="120"/>
        <w:ind w:left="480"/>
      </w:pPr>
      <w:r>
        <w:rPr>
          <w:rFonts w:ascii="微软雅黑" w:cs="微软雅黑" w:eastAsia="微软雅黑" w:hAnsi="微软雅黑"/>
          <w:b w:val="false"/>
          <w:bCs w:val="false"/>
          <w:sz w:val="21"/>
          <w:szCs w:val="21"/>
        </w:rPr>
        <w:t xml:space="preserve">- 三大模块化产品线（NOAH/河姆渡/潘多拉）覆盖公寓、住宅、文旅、商业、应急多场景，兼容木、轻钢、发泡混凝土等多材料体系。相比竞品锁定单一结构、单一业态的短板（中集仅钢结构、Boxabl仅小型ADU、江苏零界仅木构），场景覆盖面和市场适配性显著更广。其中潘多拉（轻量化可拆装可重组商业模块）为行业空白蓝海，国内外均无直接竞品。</w:t>
      </w:r>
    </w:p>
    <w:p>
      <w:pPr>
        <w:spacing w:after="120"/>
        <w:ind w:left="480"/>
      </w:pPr>
      <w:r>
        <w:rPr>
          <w:rFonts w:ascii="微软雅黑" w:cs="微软雅黑" w:eastAsia="微软雅黑" w:hAnsi="微软雅黑"/>
          <w:b w:val="false"/>
          <w:bCs w:val="false"/>
          <w:sz w:val="21"/>
          <w:szCs w:val="21"/>
        </w:rPr>
        <w:t xml:space="preserve">- AI设计平台将传统3个月设计周期压缩至1周，同时具备B端专业工程设计与C端自助设计双向闭环能力。同行AI仅用于内部绘图生产，ezBuild自研AI空间大模型可对外输出SaaS设计服务，构建"AI前置获客、精准分流、高效转化"的数字化获客壁垒，形成行业独有的低成本线上获客链路。</w:t>
      </w:r>
    </w:p>
    <w:p>
      <w:pPr>
        <w:spacing w:after="120"/>
        <w:ind w:left="480"/>
      </w:pPr>
      <w:r>
        <w:rPr>
          <w:rFonts w:ascii="微软雅黑" w:cs="微软雅黑" w:eastAsia="微软雅黑" w:hAnsi="微软雅黑"/>
          <w:b w:val="false"/>
          <w:bCs w:val="false"/>
          <w:sz w:val="21"/>
          <w:szCs w:val="21"/>
        </w:rPr>
        <w:t xml:space="preserve">- 轻资产出海模式，成本优势显著。区别于中集、积水等自建重工厂模式，ezBuild依托国内成熟供应链整合，固定资产投入极低，同等产品造价远低于海外本土厂商。模块化建筑造价约2,000-2,500元/m²，vs 混凝土现浇6,000元/m²，vs 传统装配式3,500元/m²。工期从传统6个月压缩至2个月，净利润率从5-7%提升至20-25%。同时吸取Katerra重资产破产教训，规划通过与核心供应商交叉持股、共建产线补齐产能。</w:t>
      </w:r>
    </w:p>
    <w:p>
      <w:pPr>
        <w:spacing w:after="120"/>
        <w:ind w:left="480"/>
      </w:pPr>
      <w:r>
        <w:rPr>
          <w:rFonts w:ascii="微软雅黑" w:cs="微软雅黑" w:eastAsia="微软雅黑" w:hAnsi="微软雅黑"/>
          <w:b w:val="false"/>
          <w:bCs w:val="false"/>
          <w:sz w:val="21"/>
          <w:szCs w:val="21"/>
        </w:rPr>
        <w:t xml:space="preserve">- 建造+智能硬件+长效运营的一体化商业模式，区别行业普遍的一次性交付。未来叠加前装光储一体、端侧空间AI、建筑健康监测硬件，配套文旅项目代运营增值服务，形成"一次建造、长期复购"的持续性收入，拉长项目生命周期收益。整套低碳智能配套契合全球零碳政策，海外项目适配性强。</w:t>
      </w:r>
    </w:p>
    <w:p>
      <w:pPr>
        <w:spacing w:after="120"/>
        <w:ind w:left="480"/>
      </w:pPr>
      <w:r>
        <w:rPr>
          <w:rFonts w:ascii="微软雅黑" w:cs="微软雅黑" w:eastAsia="微软雅黑" w:hAnsi="微软雅黑"/>
          <w:b w:val="false"/>
          <w:bCs w:val="false"/>
          <w:sz w:val="21"/>
          <w:szCs w:val="21"/>
        </w:rPr>
        <w:t xml:space="preserve">- 海外项目储备丰富，已同步推进美国、新西兰、巴西、马来西亚等多国多类型项目，标的额合计超7000万元人民币。全球模块化建筑市场正处于需求爆发初期，特别是东南亚、非洲、拉美等新兴市场对低成本快速建造的刚性需求巨大，ezBuild的AI设计+柔性产线+标准模块体系与该需求高度匹配。</w:t>
      </w:r>
    </w:p>
    <w:p>
      <w:pPr>
        <w:spacing w:after="200" w:before="360"/>
      </w:pPr>
      <w:r>
        <w:rPr>
          <w:rFonts w:ascii="微软雅黑" w:cs="微软雅黑" w:eastAsia="微软雅黑" w:hAnsi="微软雅黑"/>
          <w:b/>
          <w:bCs/>
          <w:sz w:val="24"/>
          <w:szCs w:val="24"/>
        </w:rPr>
        <w:t xml:space="preserve">投资风险：</w:t>
      </w:r>
    </w:p>
    <w:p>
      <w:pPr>
        <w:spacing w:after="120"/>
        <w:ind w:left="480"/>
      </w:pPr>
      <w:r>
        <w:rPr>
          <w:rFonts w:ascii="微软雅黑" w:cs="微软雅黑" w:eastAsia="微软雅黑" w:hAnsi="微软雅黑"/>
          <w:b w:val="false"/>
          <w:bCs w:val="false"/>
          <w:sz w:val="21"/>
          <w:szCs w:val="21"/>
        </w:rPr>
        <w:t xml:space="preserve">- 公司成立时间极短（2026年6月正式注册），产品仍处于研发验证阶段。NOAH、河姆渡、潘多拉三大模块化产品均未完成1:1实物试制验证（河姆渡计划9月完成1:1试制，NOAH计划12月完成），标准化产品的结构安全性、装配可靠性、综合落地性能尚需实际项目检验。</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val="false"/>
          <w:bCs w:val="false"/>
          <w:sz w:val="21"/>
          <w:szCs w:val="21"/>
        </w:rPr>
        <w:t xml:space="preserve">海外核心项目（美国约2,000万元、巴西约5,000万元）均处于方案沟通及报价阶段，</w:t>
      </w:r>
      <w:r>
        <w:rPr>
          <w:rFonts w:ascii="微软雅黑" w:cs="微软雅黑" w:eastAsia="微软雅黑" w:hAnsi="微软雅黑"/>
          <w:b/>
          <w:bCs/>
          <w:sz w:val="21"/>
          <w:szCs w:val="21"/>
        </w:rPr>
        <w:t xml:space="preserve">尚未签署正式合同文件</w:t>
      </w:r>
      <w:r>
        <w:rPr>
          <w:rFonts w:ascii="微软雅黑" w:cs="微软雅黑" w:eastAsia="微软雅黑" w:hAnsi="微软雅黑"/>
          <w:b w:val="false"/>
          <w:bCs w:val="false"/>
          <w:sz w:val="21"/>
          <w:szCs w:val="21"/>
        </w:rPr>
        <w:t xml:space="preserve">，订单转化存在不确定性。目前已签约且确认收入的订单仅海南东方项目（100万元），收入规模极小，尚不足以验证商业模式的可持续性。</w:t>
      </w:r>
    </w:p>
    <w:p>
      <w:pPr>
        <w:spacing w:after="120"/>
        <w:ind w:left="480"/>
      </w:pPr>
      <w:r>
        <w:rPr>
          <w:rFonts w:ascii="微软雅黑" w:cs="微软雅黑" w:eastAsia="微软雅黑" w:hAnsi="微软雅黑"/>
          <w:b w:val="false"/>
          <w:bCs w:val="false"/>
          <w:sz w:val="21"/>
          <w:szCs w:val="21"/>
        </w:rPr>
        <w:t xml:space="preserve">- 无自有规模化智造工厂，全部生产依托外部供应商，大批量集中订单的交付周期、统一质检标准难以完全自主把控。与核心供应商无排他绑定协议，若上游厂商终止合作、同步供给竞品，将直接影响产品交付与差异化优势。外协配套技术无专属使用权保护，存在核心配套方案外泄风险。</w:t>
      </w:r>
    </w:p>
    <w:p>
      <w:pPr>
        <w:spacing w:after="120"/>
        <w:ind w:left="480"/>
      </w:pPr>
      <w:r>
        <w:rPr>
          <w:rFonts w:ascii="微软雅黑" w:cs="微软雅黑" w:eastAsia="微软雅黑" w:hAnsi="微软雅黑"/>
          <w:b w:val="false"/>
          <w:bCs w:val="false"/>
          <w:sz w:val="21"/>
          <w:szCs w:val="21"/>
        </w:rPr>
        <w:t xml:space="preserve">- 创始人山中龙行为日本国籍，需关注跨境经营、外汇管理、税务合规等方面的潜在法律风险。此外需确认创始人证件类型（护照TZ1188159）及在华长期居留、工作许可等资质的合规性。</w:t>
      </w:r>
    </w:p>
    <w:p>
      <w:pPr>
        <w:spacing w:after="120"/>
        <w:ind w:left="480"/>
      </w:pPr>
      <w:r>
        <w:rPr>
          <w:rFonts w:ascii="微软雅黑" w:cs="微软雅黑" w:eastAsia="微软雅黑" w:hAnsi="微软雅黑"/>
          <w:b w:val="false"/>
          <w:bCs w:val="false"/>
          <w:sz w:val="21"/>
          <w:szCs w:val="21"/>
        </w:rPr>
        <w:t xml:space="preserve">- 海外各国建筑规范、防灾标准、环保认证体系差异巨大且政策存在变动风险。本地化认证、施工资质和合作网络仍需逐国建立，合规门槛高、周期长，出海扩张进度可能不及预期。</w:t>
      </w:r>
    </w:p>
    <w:p>
      <w:pPr>
        <w:spacing w:after="120"/>
        <w:ind w:left="480"/>
      </w:pPr>
      <w:r>
        <w:rPr>
          <w:rFonts w:ascii="微软雅黑" w:cs="微软雅黑" w:eastAsia="微软雅黑" w:hAnsi="微软雅黑"/>
          <w:b w:val="false"/>
          <w:bCs w:val="false"/>
          <w:sz w:val="21"/>
          <w:szCs w:val="21"/>
        </w:rPr>
        <w:t xml:space="preserve">- 前期曾作为追觅科技内部BU孵化，虽公司声明已完全脱离追觅体系且追觅不持有任何股权，但需通过法律尽调确认：（1）孵化期间产生的知识产权归属是否清晰；（2）核心团队成员与追觅之间是否存在竞业限制或保密义务约束；（3）是否存在追觅享有的优先投资权、回购权或其他潜在权利主张。</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公司财务预测极为激进</w:t>
      </w:r>
      <w:r>
        <w:rPr>
          <w:rFonts w:ascii="微软雅黑" w:cs="微软雅黑" w:eastAsia="微软雅黑" w:hAnsi="微软雅黑"/>
          <w:b w:val="false"/>
          <w:bCs w:val="false"/>
          <w:sz w:val="21"/>
          <w:szCs w:val="21"/>
        </w:rPr>
        <w:t xml:space="preserve">（2026年营收2,000万→2031年50亿，净利率从10%提升至26%；长期目标2034年营收200亿，IPO估值300-400亿），缺乏充分的历史数据和已签约订单支撑。单栋成本模型显示10,000栋项目净利率可达50.05%，但规模效应实现前提是标准化程度高、订单量充足、供应链稳定，均需逐步验证。</w:t>
      </w:r>
    </w:p>
    <w:p>
      <w:pPr>
        <w:spacing w:after="120"/>
        <w:ind w:left="480"/>
      </w:pPr>
      <w:r>
        <w:rPr>
          <w:rFonts w:ascii="微软雅黑" w:cs="微软雅黑" w:eastAsia="微软雅黑" w:hAnsi="微软雅黑"/>
          <w:b w:val="false"/>
          <w:bCs w:val="false"/>
          <w:sz w:val="21"/>
          <w:szCs w:val="21"/>
        </w:rPr>
        <w:t xml:space="preserve">- 核心团队中多名关键岗位（融资总监、全栈工程师、中东/北美/澳洲销售经理等）尚处于Offer待入职或兼职状态，8-11月才陆续全职化。团队稳定性和全职化进度存在不确定性，需关注关键人员流失风险。</w:t>
      </w:r>
    </w:p>
    <w:p>
      <w:pPr>
        <w:spacing w:after="120"/>
        <w:ind w:left="480"/>
      </w:pPr>
      <w:r>
        <w:rPr>
          <w:rFonts w:ascii="微软雅黑" w:cs="微软雅黑" w:eastAsia="微软雅黑" w:hAnsi="微软雅黑"/>
          <w:b w:val="false"/>
          <w:bCs w:val="false"/>
          <w:sz w:val="21"/>
          <w:szCs w:val="21"/>
        </w:rPr>
        <w:t xml:space="preserve">- 增值服务（光储一体化、建筑健康监测、文旅代运营）均为迭代规划业务，暂无成熟落地标杆案例，增值业务盈利模式有待市场检验。</w:t>
      </w:r>
    </w:p>
    <w:p>
      <w:pPr>
        <w:spacing w:after="200" w:before="360"/>
      </w:pPr>
      <w:r>
        <w:rPr>
          <w:rFonts w:ascii="微软雅黑" w:cs="微软雅黑" w:eastAsia="微软雅黑" w:hAnsi="微软雅黑"/>
          <w:b/>
          <w:bCs/>
          <w:sz w:val="24"/>
          <w:szCs w:val="24"/>
        </w:rPr>
        <w:t xml:space="preserve">融资历史与计划：</w:t>
      </w:r>
    </w:p>
    <w:p>
      <w:pPr>
        <w:spacing w:after="120"/>
        <w:ind w:left="480"/>
      </w:pPr>
      <w:r>
        <w:rPr>
          <w:rFonts w:ascii="微软雅黑" w:cs="微软雅黑" w:eastAsia="微软雅黑" w:hAnsi="微软雅黑"/>
          <w:b w:val="false"/>
          <w:bCs w:val="false"/>
          <w:sz w:val="21"/>
          <w:szCs w:val="21"/>
        </w:rPr>
        <w:t xml:space="preserve">- 公司此前未进行过外部股权融资。目前正在进行种子轮融资，计划融资1,500万元人民币，出让10%股权，投前估值1.5亿元。</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种子轮资金用途规划：</w:t>
      </w:r>
      <w:r>
        <w:rPr>
          <w:rFonts w:ascii="微软雅黑" w:cs="微软雅黑" w:eastAsia="微软雅黑" w:hAnsi="微软雅黑"/>
          <w:b w:val="false"/>
          <w:bCs w:val="false"/>
          <w:sz w:val="21"/>
          <w:szCs w:val="21"/>
        </w:rPr>
        <w:t xml:space="preserve">团队运营成本（30%/450万元，覆盖约30人团队）、产品研发及模块验证（23%/350万元，含10个核心模块验证）、销售体系搭建及市场拓展（20%/300万元，重点澳洲/日本/美国/中东等）、供应链及交付体系建设（10%/150万元）、设计AI软件开发（10%/150万元）、法务知识产权及行政支出（7%/100万元）。</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后续融资规划：</w:t>
      </w:r>
      <w:r>
        <w:rPr>
          <w:rFonts w:ascii="微软雅黑" w:cs="微软雅黑" w:eastAsia="微软雅黑" w:hAnsi="微软雅黑"/>
          <w:b w:val="false"/>
          <w:bCs w:val="false"/>
          <w:sz w:val="21"/>
          <w:szCs w:val="21"/>
        </w:rPr>
        <w:t xml:space="preserve">公司计划2026年内完成种子轮+天使轮共计4,000万元融资；2027年完成Pre-A轮（8,000万）及A轮（1亿），估值目标10-12亿元；远期规划2034年实现IPO。</w:t>
      </w:r>
    </w:p>
    <w:p>
      <w:pPr>
        <w:spacing w:after="100"/>
      </w:pPr>
    </w:p>
    <w:p>
      <w:pPr>
        <w:spacing w:after="200" w:before="360"/>
      </w:pPr>
      <w:r>
        <w:rPr>
          <w:rFonts w:ascii="微软雅黑" w:cs="微软雅黑" w:eastAsia="微软雅黑" w:hAnsi="微软雅黑"/>
          <w:b/>
          <w:bCs/>
          <w:sz w:val="24"/>
          <w:szCs w:val="24"/>
        </w:rPr>
        <w:t xml:space="preserve">附：顾问团队与合作公司</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顾问团队：</w:t>
      </w:r>
      <w:r>
        <w:rPr>
          <w:rFonts w:ascii="微软雅黑" w:cs="微软雅黑" w:eastAsia="微软雅黑" w:hAnsi="微软雅黑"/>
          <w:b w:val="false"/>
          <w:bCs w:val="false"/>
          <w:sz w:val="21"/>
          <w:szCs w:val="21"/>
        </w:rPr>
        <w:t xml:space="preserve">蒋红斌（清华大学美术学院副教授、中国工业设计协会理事、国家知识产权创意产业试点园区专家委员会委员）；何忠华（瀚华金控监事会主席，曾担任清华大学清创+顾问）。</w:t>
      </w:r>
    </w:p>
    <w:p>
      <w:pPr>
        <w:spacing w:after="120"/>
        <w:ind w:left="480"/>
      </w:pPr>
      <w:r>
        <w:rPr>
          <w:rFonts w:ascii="微软雅黑" w:cs="微软雅黑" w:eastAsia="微软雅黑" w:hAnsi="微软雅黑"/>
          <w:b w:val="false"/>
          <w:bCs w:val="false"/>
          <w:sz w:val="21"/>
          <w:szCs w:val="21"/>
        </w:rPr>
        <w:t xml:space="preserve">- </w:t>
      </w:r>
      <w:r>
        <w:rPr>
          <w:rFonts w:ascii="微软雅黑" w:cs="微软雅黑" w:eastAsia="微软雅黑" w:hAnsi="微软雅黑"/>
          <w:b/>
          <w:bCs/>
          <w:sz w:val="21"/>
          <w:szCs w:val="21"/>
        </w:rPr>
        <w:t xml:space="preserve">合作公司：</w:t>
      </w:r>
      <w:r>
        <w:rPr>
          <w:rFonts w:ascii="微软雅黑" w:cs="微软雅黑" w:eastAsia="微软雅黑" w:hAnsi="微软雅黑"/>
          <w:b w:val="false"/>
          <w:bCs w:val="false"/>
          <w:sz w:val="21"/>
          <w:szCs w:val="21"/>
        </w:rPr>
        <w:t xml:space="preserve">大连风云建筑设计有限公司（2023年中国建筑业协会优秀工程勘察设计企业）、辽宁金柏胜木结构科技有限公司（生产区建筑面积20,000m²，年生产能力可达20万m²以上，与日本积水住宅等知名企业有多方面紧密合作）、大连龙阳木业有限公司（木结构住宅产业化、木材进出口业务）、大连东南工业有限公司、海王九岛月儿湾度假村（四星级酒店标准，51间客房，装配式木结构建筑）。</w:t>
      </w:r>
    </w:p>
    <w:p>
      <w:pPr>
        <w:spacing w:after="100"/>
      </w:pPr>
    </w:p>
    <w:p>
      <w:pPr>
        <w:spacing w:after="120"/>
        <w:ind w:left="0"/>
      </w:pPr>
      <w:r>
        <w:rPr>
          <w:rFonts w:ascii="微软雅黑" w:cs="微软雅黑" w:eastAsia="微软雅黑" w:hAnsi="微软雅黑"/>
          <w:b/>
          <w:bCs/>
          <w:sz w:val="21"/>
          <w:szCs w:val="21"/>
        </w:rPr>
        <w:t xml:space="preserve">报告日期：</w:t>
      </w:r>
      <w:r>
        <w:rPr>
          <w:rFonts w:ascii="微软雅黑" w:cs="微软雅黑" w:eastAsia="微软雅黑" w:hAnsi="微软雅黑"/>
          <w:b w:val="false"/>
          <w:bCs w:val="false"/>
          <w:sz w:val="21"/>
          <w:szCs w:val="21"/>
        </w:rPr>
        <w:t xml:space="preserve">2026年7月</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2026-07-24T09:09:15.505Z</dcterms:created>
  <dcterms:modified xsi:type="dcterms:W3CDTF">2026-07-24T09:09:15.505Z</dcterms:modified>
</cp:coreProperties>
</file>

<file path=docProps/custom.xml><?xml version="1.0" encoding="utf-8"?>
<Properties xmlns="http://schemas.openxmlformats.org/officeDocument/2006/custom-properties" xmlns:vt="http://schemas.openxmlformats.org/officeDocument/2006/docPropsVTypes"/>
</file>