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CAPSTONE PROJECT ARCHITECTURE</w:t>
        <w:br/>
      </w:r>
      <w:r>
        <w:rPr>
          <w:b/>
          <w:sz w:val="32"/>
        </w:rPr>
        <w:t>Zero-Trust Hybrid Cloud Infrastructure with Infrastructure as Code and Automated Recovery</w:t>
      </w:r>
    </w:p>
    <w:p>
      <w:pPr>
        <w:jc w:val="center"/>
      </w:pPr>
      <w:r>
        <w:rPr>
          <w:b/>
        </w:rPr>
        <w:br/>
        <w:t>Revised Architecture Design</w:t>
        <w:br/>
      </w:r>
      <w:r>
        <w:br/>
        <w:t>Domain: hybridlab.shop</w:t>
        <w:br/>
      </w:r>
      <w:r>
        <w:t>School VLAN: 94</w:t>
        <w:br/>
      </w:r>
      <w:r>
        <w:t>On-Premises: Two Dell Blade Servers + Proxmox VE</w:t>
        <w:br/>
      </w:r>
      <w:r>
        <w:t>Security Edge: OPNsense</w:t>
        <w:br/>
      </w:r>
      <w:r>
        <w:t>Identity: Windows Server Active Directory + DNS</w:t>
        <w:br/>
      </w:r>
      <w:r>
        <w:t>Cloud: Amazon Web Services (AWS)</w:t>
        <w:br/>
      </w:r>
      <w:r>
        <w:t>Automation: Terraform + Ansible + PowerShell</w:t>
        <w:br/>
      </w:r>
      <w:r>
        <w:t>Optional Enhancement: Public DNS / ACME automation with deSEC</w:t>
      </w:r>
    </w:p>
    <w:p>
      <w:r>
        <w:br w:type="page"/>
      </w:r>
    </w:p>
    <w:p>
      <w:pPr>
        <w:pStyle w:val="Heading1"/>
      </w:pPr>
      <w:r>
        <w:t>1. Architecture Overview</w:t>
      </w:r>
    </w:p>
    <w:p>
      <w:r>
        <w:t>This project builds a secure hybrid cloud environment using two school-provided Dell blade servers running Proxmox VE and an AWS cloud environment. The school-assigned VLAN 94 is used as the upstream network for Proxmox management and the WAN side of the OPNsense firewall. Private server, client, and DMZ networks are created behind OPNsense so that the capstone controls traffic between workloads instead of placing all virtual machines directly on the school VLAN.</w:t>
      </w:r>
    </w:p>
    <w:p>
      <w:r>
        <w:t>The project uses the registered domain hybridlab.shop for a consistent naming structure. Proxmox management hosts use the mgmt.hybridlab.shop namespace, Active Directory uses ad.hybridlab.shop, and DMZ systems use dmz.hybridlab.shop. Public DNS hosting is not required for the core project; it can be added later as an optional enhancement.</w:t>
      </w:r>
    </w:p>
    <w:p>
      <w:r>
        <w:t>Zero Trust principles are demonstrated through explicit firewall rules, least privilege, network segmentation, centralized identity, logging, and controlled communication. Terraform manages AWS infrastructure, Ansible manages repeatable server configuration, PowerShell supports Windows and Active Directory automation, and selected failure scenarios demonstrate recovery.</w:t>
      </w:r>
    </w:p>
    <w:p>
      <w:pPr>
        <w:pStyle w:val="Heading2"/>
      </w:pPr>
      <w:r>
        <w:t>1.1 High-Level Architecture</w:t>
      </w:r>
    </w:p>
    <w:p>
      <w:pPr>
        <w:spacing w:before="60" w:after="120"/>
      </w:pPr>
      <w:r>
        <w:rPr>
          <w:rFonts w:ascii="Consolas" w:hAnsi="Consolas"/>
          <w:sz w:val="16"/>
        </w:rPr>
        <w:t xml:space="preserve">                           SCHOOL SERVER ROOM</w:t>
        <w:br/>
      </w:r>
      <w:r>
        <w:rPr>
          <w:rFonts w:ascii="Consolas" w:hAnsi="Consolas"/>
          <w:sz w:val="16"/>
        </w:rPr>
        <w:t xml:space="preserve">                                VLAN 94</w:t>
        <w:br/>
      </w:r>
      <w:r>
        <w:rPr>
          <w:rFonts w:ascii="Consolas" w:hAnsi="Consolas"/>
          <w:sz w:val="16"/>
        </w:rPr>
        <w:t xml:space="preserve">                           10.0.94.0/24</w:t>
        <w:br/>
      </w:r>
      <w:r>
        <w:rPr>
          <w:rFonts w:ascii="Consolas" w:hAnsi="Consolas"/>
          <w:sz w:val="16"/>
        </w:rPr>
        <w:t xml:space="preserve">                                 |</w:t>
        <w:br/>
      </w:r>
      <w:r>
        <w:rPr>
          <w:rFonts w:ascii="Consolas" w:hAnsi="Consolas"/>
          <w:sz w:val="16"/>
        </w:rPr>
        <w:t xml:space="preserve">                       Gateway: 10.0.94.1</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Proxmox Blade 1                     Proxmox Blade 2</w:t>
        <w:br/>
      </w:r>
      <w:r>
        <w:rPr>
          <w:rFonts w:ascii="Consolas" w:hAnsi="Consolas"/>
          <w:sz w:val="16"/>
        </w:rPr>
        <w:t xml:space="preserve">       pve01.mgmt.hybridlab.shop            pve02.mgmt.hybridlab.shop</w:t>
        <w:br/>
      </w:r>
      <w:r>
        <w:rPr>
          <w:rFonts w:ascii="Consolas" w:hAnsi="Consolas"/>
          <w:sz w:val="16"/>
        </w:rPr>
        <w:t xml:space="preserve">       10.0.94.11*                           10.0.94.12*</w:t>
        <w:br/>
      </w:r>
      <w:r>
        <w:rPr>
          <w:rFonts w:ascii="Consolas" w:hAnsi="Consolas"/>
          <w:sz w:val="16"/>
        </w:rPr>
        <w:t xml:space="preserve">               |                                   |</w:t>
        <w:br/>
      </w:r>
      <w:r>
        <w:rPr>
          <w:rFonts w:ascii="Consolas" w:hAnsi="Consolas"/>
          <w:sz w:val="16"/>
        </w:rPr>
        <w:t xml:space="preserve">               +-----------------+-----------------+</w:t>
        <w:br/>
      </w:r>
      <w:r>
        <w:rPr>
          <w:rFonts w:ascii="Consolas" w:hAnsi="Consolas"/>
          <w:sz w:val="16"/>
        </w:rPr>
        <w:t xml:space="preserve">                                 |</w:t>
        <w:br/>
      </w:r>
      <w:r>
        <w:rPr>
          <w:rFonts w:ascii="Consolas" w:hAnsi="Consolas"/>
          <w:sz w:val="16"/>
        </w:rPr>
        <w:t xml:space="preserve">                           Proxmox VE</w:t>
        <w:br/>
      </w:r>
      <w:r>
        <w:rPr>
          <w:rFonts w:ascii="Consolas" w:hAnsi="Consolas"/>
          <w:sz w:val="16"/>
        </w:rPr>
        <w:t xml:space="preserve">                                 |</w:t>
        <w:br/>
      </w:r>
      <w:r>
        <w:rPr>
          <w:rFonts w:ascii="Consolas" w:hAnsi="Consolas"/>
          <w:sz w:val="16"/>
        </w:rPr>
        <w:t xml:space="preserve">                            OPNsense VM</w:t>
        <w:br/>
      </w:r>
      <w:r>
        <w:rPr>
          <w:rFonts w:ascii="Consolas" w:hAnsi="Consolas"/>
          <w:sz w:val="16"/>
        </w:rPr>
        <w:t xml:space="preserve">                                 |</w:t>
        <w:br/>
      </w:r>
      <w:r>
        <w:rPr>
          <w:rFonts w:ascii="Consolas" w:hAnsi="Consolas"/>
          <w:sz w:val="16"/>
        </w:rPr>
        <w:t xml:space="preserve">                +----------------+----------------+</w:t>
        <w:br/>
      </w:r>
      <w:r>
        <w:rPr>
          <w:rFonts w:ascii="Consolas" w:hAnsi="Consolas"/>
          <w:sz w:val="16"/>
        </w:rPr>
        <w:t xml:space="preserve">                |                |                |</w:t>
        <w:br/>
      </w:r>
      <w:r>
        <w:rPr>
          <w:rFonts w:ascii="Consolas" w:hAnsi="Consolas"/>
          <w:sz w:val="16"/>
        </w:rPr>
        <w:t xml:space="preserve">          SERVER NETWORK    CLIENT NETWORK        DMZ</w:t>
        <w:br/>
      </w:r>
      <w:r>
        <w:rPr>
          <w:rFonts w:ascii="Consolas" w:hAnsi="Consolas"/>
          <w:sz w:val="16"/>
        </w:rPr>
        <w:t xml:space="preserve">          172.20.20.0/24    172.20.30.0/24    172.20.40.0/24</w:t>
        <w:br/>
      </w:r>
      <w:r>
        <w:rPr>
          <w:rFonts w:ascii="Consolas" w:hAnsi="Consolas"/>
          <w:sz w:val="16"/>
        </w:rPr>
        <w:t xml:space="preserve">                |                |                |</w:t>
        <w:br/>
      </w:r>
      <w:r>
        <w:rPr>
          <w:rFonts w:ascii="Consolas" w:hAnsi="Consolas"/>
          <w:sz w:val="16"/>
        </w:rPr>
        <w:t xml:space="preserve">       DC01 / ANS01 /       WIN01           WEB01</w:t>
        <w:br/>
      </w:r>
      <w:r>
        <w:rPr>
          <w:rFonts w:ascii="Consolas" w:hAnsi="Consolas"/>
          <w:sz w:val="16"/>
        </w:rPr>
        <w:t xml:space="preserve">       APP01 / DB01</w:t>
        <w:br/>
      </w:r>
      <w:r>
        <w:rPr>
          <w:rFonts w:ascii="Consolas" w:hAnsi="Consolas"/>
          <w:sz w:val="16"/>
        </w:rPr>
        <w:t xml:space="preserve">                |</w:t>
        <w:br/>
      </w:r>
      <w:r>
        <w:rPr>
          <w:rFonts w:ascii="Consolas" w:hAnsi="Consolas"/>
          <w:sz w:val="16"/>
        </w:rPr>
        <w:t xml:space="preserve">       Active Directory + DNS</w:t>
        <w:br/>
      </w:r>
      <w:r>
        <w:rPr>
          <w:rFonts w:ascii="Consolas" w:hAnsi="Consolas"/>
          <w:sz w:val="16"/>
        </w:rPr>
        <w:t xml:space="preserve">          ad.hybridlab.shop</w:t>
        <w:br/>
      </w:r>
      <w:r>
        <w:rPr>
          <w:rFonts w:ascii="Consolas" w:hAnsi="Consolas"/>
          <w:sz w:val="16"/>
        </w:rPr>
        <w:t xml:space="preserve">                                 |</w:t>
        <w:br/>
      </w:r>
      <w:r>
        <w:rPr>
          <w:rFonts w:ascii="Consolas" w:hAnsi="Consolas"/>
          <w:sz w:val="16"/>
        </w:rPr>
        <w:t xml:space="preserve">                         Encrypted VPN</w:t>
        <w:br/>
      </w:r>
      <w:r>
        <w:rPr>
          <w:rFonts w:ascii="Consolas" w:hAnsi="Consolas"/>
          <w:sz w:val="16"/>
        </w:rPr>
        <w:t xml:space="preserve">                                 |</w:t>
        <w:br/>
      </w:r>
      <w:r>
        <w:rPr>
          <w:rFonts w:ascii="Consolas" w:hAnsi="Consolas"/>
          <w:sz w:val="16"/>
        </w:rPr>
        <w:t xml:space="preserve">                                 v</w:t>
        <w:br/>
      </w:r>
      <w:r>
        <w:rPr>
          <w:rFonts w:ascii="Consolas" w:hAnsi="Consolas"/>
          <w:sz w:val="16"/>
        </w:rPr>
        <w:t xml:space="preserve">                          AWS VPC 10.20.0.0/16</w:t>
        <w:br/>
      </w:r>
      <w:r>
        <w:rPr>
          <w:rFonts w:ascii="Consolas" w:hAnsi="Consolas"/>
          <w:sz w:val="16"/>
        </w:rPr>
        <w:t xml:space="preserve">                          /                  \</w:t>
        <w:br/>
      </w:r>
      <w:r>
        <w:rPr>
          <w:rFonts w:ascii="Consolas" w:hAnsi="Consolas"/>
          <w:sz w:val="16"/>
        </w:rPr>
        <w:t xml:space="preserve">                 Public Subnet           Private Subnet</w:t>
        <w:br/>
      </w:r>
      <w:r>
        <w:rPr>
          <w:rFonts w:ascii="Consolas" w:hAnsi="Consolas"/>
          <w:sz w:val="16"/>
        </w:rPr>
        <w:t xml:space="preserve">                 10.20.10.0/24           10.20.20.0/24</w:t>
        <w:br/>
      </w:r>
      <w:r>
        <w:rPr>
          <w:rFonts w:ascii="Consolas" w:hAnsi="Consolas"/>
          <w:sz w:val="16"/>
        </w:rPr>
        <w:br/>
      </w:r>
      <w:r>
        <w:rPr>
          <w:rFonts w:ascii="Consolas" w:hAnsi="Consolas"/>
          <w:sz w:val="16"/>
        </w:rPr>
        <w:t>*Use the exact addresses from the school's VLAN/blade assignment sheet if they differ.</w:t>
        <w:br/>
      </w:r>
    </w:p>
    <w:p>
      <w:pPr>
        <w:pStyle w:val="Heading1"/>
      </w:pPr>
      <w:r>
        <w:t>2. Physical Infrastructure</w:t>
      </w:r>
    </w:p>
    <w:p>
      <w:r>
        <w:t>The physical foundation consists of two assigned Dell blade servers in the school server room. Each blade is managed through the existing iDRAC/CMC environment and runs Proxmox VE. The Proxmox management interfaces remain on VLAN 94 so that the hypervisors can be reached even if a guest firewall or internal virtual network fails. iDRAC remains the out-of-band management path and is not moved into the capstone networks.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Component</w:t>
            </w:r>
          </w:p>
        </w:tc>
        <w:tc>
          <w:tcPr>
            <w:tcW w:type="dxa" w:w="3312"/>
            <w:vAlign w:val="center"/>
            <w:shd w:fill="D9EAF7"/>
          </w:tcPr>
          <w:p>
            <w:r/>
            <w:r>
              <w:rPr>
                <w:b/>
                <w:sz w:val="18"/>
              </w:rPr>
              <w:t>Role</w:t>
            </w:r>
          </w:p>
        </w:tc>
        <w:tc>
          <w:tcPr>
            <w:tcW w:type="dxa" w:w="4032"/>
            <w:vAlign w:val="center"/>
            <w:shd w:fill="D9EAF7"/>
          </w:tcPr>
          <w:p>
            <w:r/>
            <w:r>
              <w:rPr>
                <w:b/>
                <w:sz w:val="18"/>
              </w:rPr>
              <w:t>Address / Notes</w:t>
            </w:r>
          </w:p>
        </w:tc>
      </w:tr>
      <w:tr>
        <w:tc>
          <w:tcPr>
            <w:tcW w:type="dxa" w:w="2160"/>
            <w:vAlign w:val="center"/>
          </w:tcPr>
          <w:p>
            <w:r/>
            <w:r>
              <w:rPr>
                <w:b w:val="0"/>
                <w:sz w:val="18"/>
              </w:rPr>
              <w:t>Dell Blade 1</w:t>
            </w:r>
          </w:p>
        </w:tc>
        <w:tc>
          <w:tcPr>
            <w:tcW w:type="dxa" w:w="3312"/>
            <w:vAlign w:val="center"/>
          </w:tcPr>
          <w:p>
            <w:r/>
            <w:r>
              <w:rPr>
                <w:b w:val="0"/>
                <w:sz w:val="18"/>
              </w:rPr>
              <w:t>Primary Proxmox host</w:t>
            </w:r>
          </w:p>
        </w:tc>
        <w:tc>
          <w:tcPr>
            <w:tcW w:type="dxa" w:w="4032"/>
            <w:vAlign w:val="center"/>
          </w:tcPr>
          <w:p>
            <w:r/>
            <w:r>
              <w:rPr>
                <w:b w:val="0"/>
                <w:sz w:val="18"/>
              </w:rPr>
              <w:t>VLAN 94; 10.0.94.11/24 if assigned</w:t>
            </w:r>
          </w:p>
        </w:tc>
      </w:tr>
      <w:tr>
        <w:tc>
          <w:tcPr>
            <w:tcW w:type="dxa" w:w="2160"/>
            <w:vAlign w:val="center"/>
          </w:tcPr>
          <w:p>
            <w:r/>
            <w:r>
              <w:rPr>
                <w:b w:val="0"/>
                <w:sz w:val="18"/>
              </w:rPr>
              <w:t>Dell Blade 2</w:t>
            </w:r>
          </w:p>
        </w:tc>
        <w:tc>
          <w:tcPr>
            <w:tcW w:type="dxa" w:w="3312"/>
            <w:vAlign w:val="center"/>
          </w:tcPr>
          <w:p>
            <w:r/>
            <w:r>
              <w:rPr>
                <w:b w:val="0"/>
                <w:sz w:val="18"/>
              </w:rPr>
              <w:t>Secondary Proxmox host; recovery/testing</w:t>
            </w:r>
          </w:p>
        </w:tc>
        <w:tc>
          <w:tcPr>
            <w:tcW w:type="dxa" w:w="4032"/>
            <w:vAlign w:val="center"/>
          </w:tcPr>
          <w:p>
            <w:r/>
            <w:r>
              <w:rPr>
                <w:b w:val="0"/>
                <w:sz w:val="18"/>
              </w:rPr>
              <w:t>VLAN 94; 10.0.94.12/24 if assigned</w:t>
            </w:r>
          </w:p>
        </w:tc>
      </w:tr>
      <w:tr>
        <w:tc>
          <w:tcPr>
            <w:tcW w:type="dxa" w:w="2160"/>
            <w:vAlign w:val="center"/>
          </w:tcPr>
          <w:p>
            <w:r/>
            <w:r>
              <w:rPr>
                <w:b w:val="0"/>
                <w:sz w:val="18"/>
              </w:rPr>
              <w:t>iDRAC / CMC</w:t>
            </w:r>
          </w:p>
        </w:tc>
        <w:tc>
          <w:tcPr>
            <w:tcW w:type="dxa" w:w="3312"/>
            <w:vAlign w:val="center"/>
          </w:tcPr>
          <w:p>
            <w:r/>
            <w:r>
              <w:rPr>
                <w:b w:val="0"/>
                <w:sz w:val="18"/>
              </w:rPr>
              <w:t>Out-of-band server management</w:t>
            </w:r>
          </w:p>
        </w:tc>
        <w:tc>
          <w:tcPr>
            <w:tcW w:type="dxa" w:w="4032"/>
            <w:vAlign w:val="center"/>
          </w:tcPr>
          <w:p>
            <w:r/>
            <w:r>
              <w:rPr>
                <w:b w:val="0"/>
                <w:sz w:val="18"/>
              </w:rPr>
              <w:t>Keep school-assigned management addressing</w:t>
            </w:r>
          </w:p>
        </w:tc>
      </w:tr>
      <w:tr>
        <w:tc>
          <w:tcPr>
            <w:tcW w:type="dxa" w:w="2160"/>
            <w:vAlign w:val="center"/>
          </w:tcPr>
          <w:p>
            <w:r/>
            <w:r>
              <w:rPr>
                <w:b w:val="0"/>
                <w:sz w:val="18"/>
              </w:rPr>
              <w:t>vmbr0</w:t>
            </w:r>
          </w:p>
        </w:tc>
        <w:tc>
          <w:tcPr>
            <w:tcW w:type="dxa" w:w="3312"/>
            <w:vAlign w:val="center"/>
          </w:tcPr>
          <w:p>
            <w:r/>
            <w:r>
              <w:rPr>
                <w:b w:val="0"/>
                <w:sz w:val="18"/>
              </w:rPr>
              <w:t>Proxmox management bridge</w:t>
            </w:r>
          </w:p>
        </w:tc>
        <w:tc>
          <w:tcPr>
            <w:tcW w:type="dxa" w:w="4032"/>
            <w:vAlign w:val="center"/>
          </w:tcPr>
          <w:p>
            <w:r/>
            <w:r>
              <w:rPr>
                <w:b w:val="0"/>
                <w:sz w:val="18"/>
              </w:rPr>
              <w:t>VLAN-aware; VLAN ID 94</w:t>
            </w:r>
          </w:p>
        </w:tc>
      </w:tr>
      <w:tr>
        <w:tc>
          <w:tcPr>
            <w:tcW w:type="dxa" w:w="2160"/>
            <w:vAlign w:val="center"/>
          </w:tcPr>
          <w:p>
            <w:r/>
            <w:r>
              <w:rPr>
                <w:b w:val="0"/>
                <w:sz w:val="18"/>
              </w:rPr>
              <w:t>ZFS</w:t>
            </w:r>
          </w:p>
        </w:tc>
        <w:tc>
          <w:tcPr>
            <w:tcW w:type="dxa" w:w="3312"/>
            <w:vAlign w:val="center"/>
          </w:tcPr>
          <w:p>
            <w:r/>
            <w:r>
              <w:rPr>
                <w:b w:val="0"/>
                <w:sz w:val="18"/>
              </w:rPr>
              <w:t>Primary VM/storage workload pool</w:t>
            </w:r>
          </w:p>
        </w:tc>
        <w:tc>
          <w:tcPr>
            <w:tcW w:type="dxa" w:w="4032"/>
            <w:vAlign w:val="center"/>
          </w:tcPr>
          <w:p>
            <w:r/>
            <w:r>
              <w:rPr>
                <w:b w:val="0"/>
                <w:sz w:val="18"/>
              </w:rPr>
              <w:t>Configured from local SSD</w:t>
            </w:r>
          </w:p>
        </w:tc>
      </w:tr>
      <w:tr>
        <w:tc>
          <w:tcPr>
            <w:tcW w:type="dxa" w:w="2160"/>
            <w:vAlign w:val="center"/>
          </w:tcPr>
          <w:p>
            <w:r/>
            <w:r>
              <w:rPr>
                <w:b w:val="0"/>
                <w:sz w:val="18"/>
              </w:rPr>
              <w:t>LVM-Thin</w:t>
            </w:r>
          </w:p>
        </w:tc>
        <w:tc>
          <w:tcPr>
            <w:tcW w:type="dxa" w:w="3312"/>
            <w:vAlign w:val="center"/>
          </w:tcPr>
          <w:p>
            <w:r/>
            <w:r>
              <w:rPr>
                <w:b w:val="0"/>
                <w:sz w:val="18"/>
              </w:rPr>
              <w:t>Additional VM storage</w:t>
            </w:r>
          </w:p>
        </w:tc>
        <w:tc>
          <w:tcPr>
            <w:tcW w:type="dxa" w:w="4032"/>
            <w:vAlign w:val="center"/>
          </w:tcPr>
          <w:p>
            <w:r/>
            <w:r>
              <w:rPr>
                <w:b w:val="0"/>
                <w:sz w:val="18"/>
              </w:rPr>
              <w:t>Configured from local HDD</w:t>
            </w:r>
          </w:p>
        </w:tc>
      </w:tr>
      <w:tr>
        <w:tc>
          <w:tcPr>
            <w:tcW w:type="dxa" w:w="2160"/>
            <w:vAlign w:val="center"/>
          </w:tcPr>
          <w:p>
            <w:r/>
            <w:r>
              <w:rPr>
                <w:b w:val="0"/>
                <w:sz w:val="18"/>
              </w:rPr>
              <w:t>NFS ISO repository</w:t>
            </w:r>
          </w:p>
        </w:tc>
        <w:tc>
          <w:tcPr>
            <w:tcW w:type="dxa" w:w="3312"/>
            <w:vAlign w:val="center"/>
          </w:tcPr>
          <w:p>
            <w:r/>
            <w:r>
              <w:rPr>
                <w:b w:val="0"/>
                <w:sz w:val="18"/>
              </w:rPr>
              <w:t>Installation media</w:t>
            </w:r>
          </w:p>
        </w:tc>
        <w:tc>
          <w:tcPr>
            <w:tcW w:type="dxa" w:w="4032"/>
            <w:vAlign w:val="center"/>
          </w:tcPr>
          <w:p>
            <w:r/>
            <w:r>
              <w:rPr>
                <w:b w:val="0"/>
                <w:sz w:val="18"/>
              </w:rPr>
              <w:t>10.0.10.5:/volume1/ISOz</w:t>
            </w:r>
          </w:p>
        </w:tc>
      </w:tr>
    </w:tbl>
    <w:p/>
    <w:p>
      <w:pPr>
        <w:pStyle w:val="Heading1"/>
      </w:pPr>
      <w:r>
        <w:t>3. Naming and Domain Architecture</w:t>
      </w:r>
    </w:p>
    <w:p>
      <w:r>
        <w:t>The registered domain hybridlab.shop provides the naming foundation for the project. The design separates management, Active Directory, and DMZ namespaces so that each function is easy to identify and document.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Namespace</w:t>
            </w:r>
          </w:p>
        </w:tc>
        <w:tc>
          <w:tcPr>
            <w:tcW w:type="dxa" w:w="3312"/>
            <w:vAlign w:val="center"/>
            <w:shd w:fill="D9EAF7"/>
          </w:tcPr>
          <w:p>
            <w:r/>
            <w:r>
              <w:rPr>
                <w:b/>
                <w:sz w:val="18"/>
              </w:rPr>
              <w:t>Purpose</w:t>
            </w:r>
          </w:p>
        </w:tc>
        <w:tc>
          <w:tcPr>
            <w:tcW w:type="dxa" w:w="4032"/>
            <w:vAlign w:val="center"/>
            <w:shd w:fill="D9EAF7"/>
          </w:tcPr>
          <w:p>
            <w:r/>
            <w:r>
              <w:rPr>
                <w:b/>
                <w:sz w:val="18"/>
              </w:rPr>
              <w:t>Examples</w:t>
            </w:r>
          </w:p>
        </w:tc>
      </w:tr>
      <w:tr>
        <w:tc>
          <w:tcPr>
            <w:tcW w:type="dxa" w:w="2592"/>
            <w:vAlign w:val="center"/>
          </w:tcPr>
          <w:p>
            <w:r/>
            <w:r>
              <w:rPr>
                <w:b w:val="0"/>
                <w:sz w:val="18"/>
              </w:rPr>
              <w:t>hybridlab.shop</w:t>
            </w:r>
          </w:p>
        </w:tc>
        <w:tc>
          <w:tcPr>
            <w:tcW w:type="dxa" w:w="3312"/>
            <w:vAlign w:val="center"/>
          </w:tcPr>
          <w:p>
            <w:r/>
            <w:r>
              <w:rPr>
                <w:b w:val="0"/>
                <w:sz w:val="18"/>
              </w:rPr>
              <w:t>Root project domain</w:t>
            </w:r>
          </w:p>
        </w:tc>
        <w:tc>
          <w:tcPr>
            <w:tcW w:type="dxa" w:w="4032"/>
            <w:vAlign w:val="center"/>
          </w:tcPr>
          <w:p>
            <w:r/>
            <w:r>
              <w:rPr>
                <w:b w:val="0"/>
                <w:sz w:val="18"/>
              </w:rPr>
              <w:t>Public-facing project name and optional public DNS</w:t>
            </w:r>
          </w:p>
        </w:tc>
      </w:tr>
      <w:tr>
        <w:tc>
          <w:tcPr>
            <w:tcW w:type="dxa" w:w="2592"/>
            <w:vAlign w:val="center"/>
          </w:tcPr>
          <w:p>
            <w:r/>
            <w:r>
              <w:rPr>
                <w:b w:val="0"/>
                <w:sz w:val="18"/>
              </w:rPr>
              <w:t>mgmt.hybridlab.shop</w:t>
            </w:r>
          </w:p>
        </w:tc>
        <w:tc>
          <w:tcPr>
            <w:tcW w:type="dxa" w:w="3312"/>
            <w:vAlign w:val="center"/>
          </w:tcPr>
          <w:p>
            <w:r/>
            <w:r>
              <w:rPr>
                <w:b w:val="0"/>
                <w:sz w:val="18"/>
              </w:rPr>
              <w:t>Infrastructure management</w:t>
            </w:r>
          </w:p>
        </w:tc>
        <w:tc>
          <w:tcPr>
            <w:tcW w:type="dxa" w:w="4032"/>
            <w:vAlign w:val="center"/>
          </w:tcPr>
          <w:p>
            <w:r/>
            <w:r>
              <w:rPr>
                <w:b w:val="0"/>
                <w:sz w:val="18"/>
              </w:rPr>
              <w:t>pve01, pve02, fw01</w:t>
            </w:r>
          </w:p>
        </w:tc>
      </w:tr>
      <w:tr>
        <w:tc>
          <w:tcPr>
            <w:tcW w:type="dxa" w:w="2592"/>
            <w:vAlign w:val="center"/>
          </w:tcPr>
          <w:p>
            <w:r/>
            <w:r>
              <w:rPr>
                <w:b w:val="0"/>
                <w:sz w:val="18"/>
              </w:rPr>
              <w:t>ad.hybridlab.shop</w:t>
            </w:r>
          </w:p>
        </w:tc>
        <w:tc>
          <w:tcPr>
            <w:tcW w:type="dxa" w:w="3312"/>
            <w:vAlign w:val="center"/>
          </w:tcPr>
          <w:p>
            <w:r/>
            <w:r>
              <w:rPr>
                <w:b w:val="0"/>
                <w:sz w:val="18"/>
              </w:rPr>
              <w:t>Active Directory domain</w:t>
            </w:r>
          </w:p>
        </w:tc>
        <w:tc>
          <w:tcPr>
            <w:tcW w:type="dxa" w:w="4032"/>
            <w:vAlign w:val="center"/>
          </w:tcPr>
          <w:p>
            <w:r/>
            <w:r>
              <w:rPr>
                <w:b w:val="0"/>
                <w:sz w:val="18"/>
              </w:rPr>
              <w:t>dc01, win01, app01, db01, ans01</w:t>
            </w:r>
          </w:p>
        </w:tc>
      </w:tr>
      <w:tr>
        <w:tc>
          <w:tcPr>
            <w:tcW w:type="dxa" w:w="2592"/>
            <w:vAlign w:val="center"/>
          </w:tcPr>
          <w:p>
            <w:r/>
            <w:r>
              <w:rPr>
                <w:b w:val="0"/>
                <w:sz w:val="18"/>
              </w:rPr>
              <w:t>dmz.hybridlab.shop</w:t>
            </w:r>
          </w:p>
        </w:tc>
        <w:tc>
          <w:tcPr>
            <w:tcW w:type="dxa" w:w="3312"/>
            <w:vAlign w:val="center"/>
          </w:tcPr>
          <w:p>
            <w:r/>
            <w:r>
              <w:rPr>
                <w:b w:val="0"/>
                <w:sz w:val="18"/>
              </w:rPr>
              <w:t>DMZ systems</w:t>
            </w:r>
          </w:p>
        </w:tc>
        <w:tc>
          <w:tcPr>
            <w:tcW w:type="dxa" w:w="4032"/>
            <w:vAlign w:val="center"/>
          </w:tcPr>
          <w:p>
            <w:r/>
            <w:r>
              <w:rPr>
                <w:b w:val="0"/>
                <w:sz w:val="18"/>
              </w:rPr>
              <w:t>web01</w:t>
            </w:r>
          </w:p>
        </w:tc>
      </w:tr>
    </w:tbl>
    <w:p/>
    <w:p>
      <w:r>
        <w:t>Recommended Proxmox installation hostnames:</w:t>
      </w:r>
    </w:p>
    <w:p>
      <w:pPr>
        <w:pStyle w:val="ListBullet"/>
      </w:pPr>
      <w:r>
        <w:t>Blade 1: pve01.mgmt.hybridlab.shop</w:t>
      </w:r>
    </w:p>
    <w:p>
      <w:pPr>
        <w:pStyle w:val="ListBullet"/>
      </w:pPr>
      <w:r>
        <w:t>Blade 2: pve02.mgmt.hybridlab.shop</w:t>
      </w:r>
    </w:p>
    <w:p>
      <w:r>
        <w:t>Recommended Active Directory forest/domain: ad.hybridlab.shop</w:t>
      </w:r>
    </w:p>
    <w:p>
      <w:r>
        <w:t>The Proxmox FQDNs do not need to be publicly reachable from the Internet. They only need reliable name resolution for the systems and administrators that manage the environment. Internal DNS records can be maintained locally, and public DNS can remain limited to services that are intentionally exposed.</w:t>
      </w:r>
    </w:p>
    <w:p>
      <w:pPr>
        <w:pStyle w:val="Heading1"/>
      </w:pPr>
      <w:r>
        <w:t>4. Network Architecture</w:t>
      </w:r>
    </w:p>
    <w:p>
      <w:pPr>
        <w:pStyle w:val="Heading2"/>
      </w:pPr>
      <w:r>
        <w:t>4.1 Upstream School Network</w:t>
      </w:r>
    </w:p>
    <w:p>
      <w:r>
        <w:t>VLAN 94 is the upstream school network for this project. It is used for Proxmox management and the external side of OPNsense. The private capstone networks use a different RFC1918 range to avoid overlap and provide a clear security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D9EAF7"/>
          </w:tcPr>
          <w:p>
            <w:r/>
            <w:r>
              <w:rPr>
                <w:b/>
                <w:sz w:val="18"/>
              </w:rPr>
              <w:t>Network / Host</w:t>
            </w:r>
          </w:p>
        </w:tc>
        <w:tc>
          <w:tcPr>
            <w:tcW w:type="dxa" w:w="2592"/>
            <w:vAlign w:val="center"/>
            <w:shd w:fill="D9EAF7"/>
          </w:tcPr>
          <w:p>
            <w:r/>
            <w:r>
              <w:rPr>
                <w:b/>
                <w:sz w:val="18"/>
              </w:rPr>
              <w:t>Address</w:t>
            </w:r>
          </w:p>
        </w:tc>
        <w:tc>
          <w:tcPr>
            <w:tcW w:type="dxa" w:w="4032"/>
            <w:vAlign w:val="center"/>
            <w:shd w:fill="D9EAF7"/>
          </w:tcPr>
          <w:p>
            <w:r/>
            <w:r>
              <w:rPr>
                <w:b/>
                <w:sz w:val="18"/>
              </w:rPr>
              <w:t>Purpose</w:t>
            </w:r>
          </w:p>
        </w:tc>
      </w:tr>
      <w:tr>
        <w:tc>
          <w:tcPr>
            <w:tcW w:type="dxa" w:w="3312"/>
            <w:vAlign w:val="center"/>
          </w:tcPr>
          <w:p>
            <w:r/>
            <w:r>
              <w:rPr>
                <w:b w:val="0"/>
                <w:sz w:val="18"/>
              </w:rPr>
              <w:t>School VLAN 94</w:t>
            </w:r>
          </w:p>
        </w:tc>
        <w:tc>
          <w:tcPr>
            <w:tcW w:type="dxa" w:w="2592"/>
            <w:vAlign w:val="center"/>
          </w:tcPr>
          <w:p>
            <w:r/>
            <w:r>
              <w:rPr>
                <w:b w:val="0"/>
                <w:sz w:val="18"/>
              </w:rPr>
              <w:t>10.0.94.0/24</w:t>
            </w:r>
          </w:p>
        </w:tc>
        <w:tc>
          <w:tcPr>
            <w:tcW w:type="dxa" w:w="4032"/>
            <w:vAlign w:val="center"/>
          </w:tcPr>
          <w:p>
            <w:r/>
            <w:r>
              <w:rPr>
                <w:b w:val="0"/>
                <w:sz w:val="18"/>
              </w:rPr>
              <w:t>Upstream network</w:t>
            </w:r>
          </w:p>
        </w:tc>
      </w:tr>
      <w:tr>
        <w:tc>
          <w:tcPr>
            <w:tcW w:type="dxa" w:w="3312"/>
            <w:vAlign w:val="center"/>
          </w:tcPr>
          <w:p>
            <w:r/>
            <w:r>
              <w:rPr>
                <w:b w:val="0"/>
                <w:sz w:val="18"/>
              </w:rPr>
              <w:t>Default gateway</w:t>
            </w:r>
          </w:p>
        </w:tc>
        <w:tc>
          <w:tcPr>
            <w:tcW w:type="dxa" w:w="2592"/>
            <w:vAlign w:val="center"/>
          </w:tcPr>
          <w:p>
            <w:r/>
            <w:r>
              <w:rPr>
                <w:b w:val="0"/>
                <w:sz w:val="18"/>
              </w:rPr>
              <w:t>10.0.94.1</w:t>
            </w:r>
          </w:p>
        </w:tc>
        <w:tc>
          <w:tcPr>
            <w:tcW w:type="dxa" w:w="4032"/>
            <w:vAlign w:val="center"/>
          </w:tcPr>
          <w:p>
            <w:r/>
            <w:r>
              <w:rPr>
                <w:b w:val="0"/>
                <w:sz w:val="18"/>
              </w:rPr>
              <w:t>School-provided gateway</w:t>
            </w:r>
          </w:p>
        </w:tc>
      </w:tr>
      <w:tr>
        <w:tc>
          <w:tcPr>
            <w:tcW w:type="dxa" w:w="3312"/>
            <w:vAlign w:val="center"/>
          </w:tcPr>
          <w:p>
            <w:r/>
            <w:r>
              <w:rPr>
                <w:b w:val="0"/>
                <w:sz w:val="18"/>
              </w:rPr>
              <w:t>pve01.mgmt.hybridlab.shop</w:t>
            </w:r>
          </w:p>
        </w:tc>
        <w:tc>
          <w:tcPr>
            <w:tcW w:type="dxa" w:w="2592"/>
            <w:vAlign w:val="center"/>
          </w:tcPr>
          <w:p>
            <w:r/>
            <w:r>
              <w:rPr>
                <w:b w:val="0"/>
                <w:sz w:val="18"/>
              </w:rPr>
              <w:t>10.0.94.11/24*</w:t>
            </w:r>
          </w:p>
        </w:tc>
        <w:tc>
          <w:tcPr>
            <w:tcW w:type="dxa" w:w="4032"/>
            <w:vAlign w:val="center"/>
          </w:tcPr>
          <w:p>
            <w:r/>
            <w:r>
              <w:rPr>
                <w:b w:val="0"/>
                <w:sz w:val="18"/>
              </w:rPr>
              <w:t>Primary Proxmox management</w:t>
            </w:r>
          </w:p>
        </w:tc>
      </w:tr>
      <w:tr>
        <w:tc>
          <w:tcPr>
            <w:tcW w:type="dxa" w:w="3312"/>
            <w:vAlign w:val="center"/>
          </w:tcPr>
          <w:p>
            <w:r/>
            <w:r>
              <w:rPr>
                <w:b w:val="0"/>
                <w:sz w:val="18"/>
              </w:rPr>
              <w:t>pve02.mgmt.hybridlab.shop</w:t>
            </w:r>
          </w:p>
        </w:tc>
        <w:tc>
          <w:tcPr>
            <w:tcW w:type="dxa" w:w="2592"/>
            <w:vAlign w:val="center"/>
          </w:tcPr>
          <w:p>
            <w:r/>
            <w:r>
              <w:rPr>
                <w:b w:val="0"/>
                <w:sz w:val="18"/>
              </w:rPr>
              <w:t>10.0.94.12/24*</w:t>
            </w:r>
          </w:p>
        </w:tc>
        <w:tc>
          <w:tcPr>
            <w:tcW w:type="dxa" w:w="4032"/>
            <w:vAlign w:val="center"/>
          </w:tcPr>
          <w:p>
            <w:r/>
            <w:r>
              <w:rPr>
                <w:b w:val="0"/>
                <w:sz w:val="18"/>
              </w:rPr>
              <w:t>Secondary Proxmox management</w:t>
            </w:r>
          </w:p>
        </w:tc>
      </w:tr>
      <w:tr>
        <w:tc>
          <w:tcPr>
            <w:tcW w:type="dxa" w:w="3312"/>
            <w:vAlign w:val="center"/>
          </w:tcPr>
          <w:p>
            <w:r/>
            <w:r>
              <w:rPr>
                <w:b w:val="0"/>
                <w:sz w:val="18"/>
              </w:rPr>
              <w:t>fw01.mgmt.hybridlab.shop</w:t>
            </w:r>
          </w:p>
        </w:tc>
        <w:tc>
          <w:tcPr>
            <w:tcW w:type="dxa" w:w="2592"/>
            <w:vAlign w:val="center"/>
          </w:tcPr>
          <w:p>
            <w:r/>
            <w:r>
              <w:rPr>
                <w:b w:val="0"/>
                <w:sz w:val="18"/>
              </w:rPr>
              <w:t>10.0.94.x/24*</w:t>
            </w:r>
          </w:p>
        </w:tc>
        <w:tc>
          <w:tcPr>
            <w:tcW w:type="dxa" w:w="4032"/>
            <w:vAlign w:val="center"/>
          </w:tcPr>
          <w:p>
            <w:r/>
            <w:r>
              <w:rPr>
                <w:b w:val="0"/>
                <w:sz w:val="18"/>
              </w:rPr>
              <w:t>OPNsense WAN</w:t>
            </w:r>
          </w:p>
        </w:tc>
      </w:tr>
    </w:tbl>
    <w:p/>
    <w:p>
      <w:r>
        <w:t>*Exact school-side addresses must follow the current blade/VLAN assignment spreadsheet.</w:t>
      </w:r>
    </w:p>
    <w:p>
      <w:pPr>
        <w:pStyle w:val="Heading2"/>
      </w:pPr>
      <w:r>
        <w:t>4.2 Internal Networks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r/>
            <w:r>
              <w:rPr>
                <w:b/>
                <w:sz w:val="18"/>
              </w:rPr>
              <w:t>Segment</w:t>
            </w:r>
          </w:p>
        </w:tc>
        <w:tc>
          <w:tcPr>
            <w:tcW w:type="dxa" w:w="2448"/>
            <w:vAlign w:val="center"/>
            <w:shd w:fill="D9EAF7"/>
          </w:tcPr>
          <w:p>
            <w:r/>
            <w:r>
              <w:rPr>
                <w:b/>
                <w:sz w:val="18"/>
              </w:rPr>
              <w:t>Subnet</w:t>
            </w:r>
          </w:p>
        </w:tc>
        <w:tc>
          <w:tcPr>
            <w:tcW w:type="dxa" w:w="2304"/>
            <w:vAlign w:val="center"/>
            <w:shd w:fill="D9EAF7"/>
          </w:tcPr>
          <w:p>
            <w:r/>
            <w:r>
              <w:rPr>
                <w:b/>
                <w:sz w:val="18"/>
              </w:rPr>
              <w:t>Gateway</w:t>
            </w:r>
          </w:p>
        </w:tc>
        <w:tc>
          <w:tcPr>
            <w:tcW w:type="dxa" w:w="3888"/>
            <w:vAlign w:val="center"/>
            <w:shd w:fill="D9EAF7"/>
          </w:tcPr>
          <w:p>
            <w:r/>
            <w:r>
              <w:rPr>
                <w:b/>
                <w:sz w:val="18"/>
              </w:rPr>
              <w:t>Purpose</w:t>
            </w:r>
          </w:p>
        </w:tc>
      </w:tr>
      <w:tr>
        <w:tc>
          <w:tcPr>
            <w:tcW w:type="dxa" w:w="1728"/>
            <w:vAlign w:val="center"/>
          </w:tcPr>
          <w:p>
            <w:r/>
            <w:r>
              <w:rPr>
                <w:b w:val="0"/>
                <w:sz w:val="18"/>
              </w:rPr>
              <w:t>Server</w:t>
            </w:r>
          </w:p>
        </w:tc>
        <w:tc>
          <w:tcPr>
            <w:tcW w:type="dxa" w:w="2448"/>
            <w:vAlign w:val="center"/>
          </w:tcPr>
          <w:p>
            <w:r/>
            <w:r>
              <w:rPr>
                <w:b w:val="0"/>
                <w:sz w:val="18"/>
              </w:rPr>
              <w:t>172.20.20.0/24</w:t>
            </w:r>
          </w:p>
        </w:tc>
        <w:tc>
          <w:tcPr>
            <w:tcW w:type="dxa" w:w="2304"/>
            <w:vAlign w:val="center"/>
          </w:tcPr>
          <w:p>
            <w:r/>
            <w:r>
              <w:rPr>
                <w:b w:val="0"/>
                <w:sz w:val="18"/>
              </w:rPr>
              <w:t>172.20.20.1</w:t>
            </w:r>
          </w:p>
        </w:tc>
        <w:tc>
          <w:tcPr>
            <w:tcW w:type="dxa" w:w="3888"/>
            <w:vAlign w:val="center"/>
          </w:tcPr>
          <w:p>
            <w:r/>
            <w:r>
              <w:rPr>
                <w:b w:val="0"/>
                <w:sz w:val="18"/>
              </w:rPr>
              <w:t>AD, DNS, automation, application, database</w:t>
            </w:r>
          </w:p>
        </w:tc>
      </w:tr>
      <w:tr>
        <w:tc>
          <w:tcPr>
            <w:tcW w:type="dxa" w:w="1728"/>
            <w:vAlign w:val="center"/>
          </w:tcPr>
          <w:p>
            <w:r/>
            <w:r>
              <w:rPr>
                <w:b w:val="0"/>
                <w:sz w:val="18"/>
              </w:rPr>
              <w:t>Client</w:t>
            </w:r>
          </w:p>
        </w:tc>
        <w:tc>
          <w:tcPr>
            <w:tcW w:type="dxa" w:w="2448"/>
            <w:vAlign w:val="center"/>
          </w:tcPr>
          <w:p>
            <w:r/>
            <w:r>
              <w:rPr>
                <w:b w:val="0"/>
                <w:sz w:val="18"/>
              </w:rPr>
              <w:t>172.20.30.0/24</w:t>
            </w:r>
          </w:p>
        </w:tc>
        <w:tc>
          <w:tcPr>
            <w:tcW w:type="dxa" w:w="2304"/>
            <w:vAlign w:val="center"/>
          </w:tcPr>
          <w:p>
            <w:r/>
            <w:r>
              <w:rPr>
                <w:b w:val="0"/>
                <w:sz w:val="18"/>
              </w:rPr>
              <w:t>172.20.30.1</w:t>
            </w:r>
          </w:p>
        </w:tc>
        <w:tc>
          <w:tcPr>
            <w:tcW w:type="dxa" w:w="3888"/>
            <w:vAlign w:val="center"/>
          </w:tcPr>
          <w:p>
            <w:r/>
            <w:r>
              <w:rPr>
                <w:b w:val="0"/>
                <w:sz w:val="18"/>
              </w:rPr>
              <w:t>Domain-joined workstation testing</w:t>
            </w:r>
          </w:p>
        </w:tc>
      </w:tr>
      <w:tr>
        <w:tc>
          <w:tcPr>
            <w:tcW w:type="dxa" w:w="1728"/>
            <w:vAlign w:val="center"/>
          </w:tcPr>
          <w:p>
            <w:r/>
            <w:r>
              <w:rPr>
                <w:b w:val="0"/>
                <w:sz w:val="18"/>
              </w:rPr>
              <w:t>DMZ</w:t>
            </w:r>
          </w:p>
        </w:tc>
        <w:tc>
          <w:tcPr>
            <w:tcW w:type="dxa" w:w="2448"/>
            <w:vAlign w:val="center"/>
          </w:tcPr>
          <w:p>
            <w:r/>
            <w:r>
              <w:rPr>
                <w:b w:val="0"/>
                <w:sz w:val="18"/>
              </w:rPr>
              <w:t>172.20.40.0/24</w:t>
            </w:r>
          </w:p>
        </w:tc>
        <w:tc>
          <w:tcPr>
            <w:tcW w:type="dxa" w:w="2304"/>
            <w:vAlign w:val="center"/>
          </w:tcPr>
          <w:p>
            <w:r/>
            <w:r>
              <w:rPr>
                <w:b w:val="0"/>
                <w:sz w:val="18"/>
              </w:rPr>
              <w:t>172.20.40.1</w:t>
            </w:r>
          </w:p>
        </w:tc>
        <w:tc>
          <w:tcPr>
            <w:tcW w:type="dxa" w:w="3888"/>
            <w:vAlign w:val="center"/>
          </w:tcPr>
          <w:p>
            <w:r/>
            <w:r>
              <w:rPr>
                <w:b w:val="0"/>
                <w:sz w:val="18"/>
              </w:rPr>
              <w:t>Web or externally reachable services</w:t>
            </w:r>
          </w:p>
        </w:tc>
      </w:tr>
    </w:tbl>
    <w:p/>
    <w:p>
      <w:pPr>
        <w:pStyle w:val="Heading2"/>
      </w:pPr>
      <w:r>
        <w:t>4.3 Proxmox Virtual Networking</w:t>
      </w:r>
    </w:p>
    <w:p>
      <w:r>
        <w:t>The internal 172.20.x.x networks can remain virtual-only inside Proxmox while the core workloads run on the primary blade. This reduces dependence on changes to the school physical switches. The second blade is used primarily for testing, migration, backup, or recovery. Multi-host virtual networking can be added only if it becomes necessary and can be supported within the school network rules.</w:t>
      </w:r>
    </w:p>
    <w:p>
      <w:pPr>
        <w:pStyle w:val="Heading1"/>
      </w:pPr>
      <w:r>
        <w:t>5. OPNsense Security Architecture</w:t>
      </w:r>
    </w:p>
    <w:p>
      <w:r>
        <w:t>OPNsense is the main network security boundary. Its WAN interface connects to VLAN 94, while its internal interfaces connect to the Server, Client, and DMZ networks. It provides routing, stateful firewall rules, VPN connectivity, NAT where required, and segmentation between trust zones.</w:t>
      </w:r>
    </w:p>
    <w:p>
      <w:pPr>
        <w:spacing w:before="60" w:after="120"/>
      </w:pPr>
      <w:r>
        <w:rPr>
          <w:rFonts w:ascii="Consolas" w:hAnsi="Consolas"/>
          <w:sz w:val="16"/>
        </w:rPr>
        <w:t>fw01.mgmt.hybridlab.shop</w:t>
        <w:br/>
      </w:r>
      <w:r>
        <w:rPr>
          <w:rFonts w:ascii="Consolas" w:hAnsi="Consolas"/>
          <w:sz w:val="16"/>
        </w:rPr>
        <w:t>|</w:t>
        <w:br/>
      </w:r>
      <w:r>
        <w:rPr>
          <w:rFonts w:ascii="Consolas" w:hAnsi="Consolas"/>
          <w:sz w:val="16"/>
        </w:rPr>
        <w:t>+-- WAN      -&gt; VLAN 94 / 10.0.94.x</w:t>
        <w:br/>
      </w:r>
      <w:r>
        <w:rPr>
          <w:rFonts w:ascii="Consolas" w:hAnsi="Consolas"/>
          <w:sz w:val="16"/>
        </w:rPr>
        <w:t>+-- SERVER   -&gt; 172.20.20.1/24</w:t>
        <w:br/>
      </w:r>
      <w:r>
        <w:rPr>
          <w:rFonts w:ascii="Consolas" w:hAnsi="Consolas"/>
          <w:sz w:val="16"/>
        </w:rPr>
        <w:t>+-- CLIENT   -&gt; 172.20.30.1/24</w:t>
        <w:br/>
      </w:r>
      <w:r>
        <w:rPr>
          <w:rFonts w:ascii="Consolas" w:hAnsi="Consolas"/>
          <w:sz w:val="16"/>
        </w:rPr>
        <w:t>+-- DMZ      -&gt; 172.20.40.1/24</w:t>
        <w:br/>
      </w:r>
      <w:r>
        <w:rPr>
          <w:rFonts w:ascii="Consolas" w:hAnsi="Consolas"/>
          <w:sz w:val="16"/>
        </w:rPr>
        <w:t>+-- VPN      -&gt; Encrypted hybrid connection to AWS</w:t>
        <w:br/>
      </w:r>
    </w:p>
    <w:p>
      <w:pPr>
        <w:pStyle w:val="Heading2"/>
      </w:pPr>
      <w:r>
        <w:t>5.1 Firewall Policy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r/>
            <w:r>
              <w:rPr>
                <w:b/>
                <w:sz w:val="18"/>
              </w:rPr>
              <w:t>Source</w:t>
            </w:r>
          </w:p>
        </w:tc>
        <w:tc>
          <w:tcPr>
            <w:tcW w:type="dxa" w:w="2448"/>
            <w:vAlign w:val="center"/>
            <w:shd w:fill="D9EAF7"/>
          </w:tcPr>
          <w:p>
            <w:r/>
            <w:r>
              <w:rPr>
                <w:b/>
                <w:sz w:val="18"/>
              </w:rPr>
              <w:t>Destination</w:t>
            </w:r>
          </w:p>
        </w:tc>
        <w:tc>
          <w:tcPr>
            <w:tcW w:type="dxa" w:w="3600"/>
            <w:vAlign w:val="center"/>
            <w:shd w:fill="D9EAF7"/>
          </w:tcPr>
          <w:p>
            <w:r/>
            <w:r>
              <w:rPr>
                <w:b/>
                <w:sz w:val="18"/>
              </w:rPr>
              <w:t>Policy</w:t>
            </w:r>
          </w:p>
        </w:tc>
        <w:tc>
          <w:tcPr>
            <w:tcW w:type="dxa" w:w="3024"/>
            <w:vAlign w:val="center"/>
            <w:shd w:fill="D9EAF7"/>
          </w:tcPr>
          <w:p>
            <w:r/>
            <w:r>
              <w:rPr>
                <w:b/>
                <w:sz w:val="18"/>
              </w:rPr>
              <w:t>Reason</w:t>
            </w:r>
          </w:p>
        </w:tc>
      </w:tr>
      <w:tr>
        <w:tc>
          <w:tcPr>
            <w:tcW w:type="dxa" w:w="1584"/>
            <w:vAlign w:val="center"/>
          </w:tcPr>
          <w:p>
            <w:r/>
            <w:r>
              <w:rPr>
                <w:b w:val="0"/>
                <w:sz w:val="18"/>
              </w:rPr>
              <w:t>Client</w:t>
            </w:r>
          </w:p>
        </w:tc>
        <w:tc>
          <w:tcPr>
            <w:tcW w:type="dxa" w:w="2448"/>
            <w:vAlign w:val="center"/>
          </w:tcPr>
          <w:p>
            <w:r/>
            <w:r>
              <w:rPr>
                <w:b w:val="0"/>
                <w:sz w:val="18"/>
              </w:rPr>
              <w:t>DC01</w:t>
            </w:r>
          </w:p>
        </w:tc>
        <w:tc>
          <w:tcPr>
            <w:tcW w:type="dxa" w:w="3600"/>
            <w:vAlign w:val="center"/>
          </w:tcPr>
          <w:p>
            <w:r/>
            <w:r>
              <w:rPr>
                <w:b w:val="0"/>
                <w:sz w:val="18"/>
              </w:rPr>
              <w:t>Allow only required AD/DNS ports</w:t>
            </w:r>
          </w:p>
        </w:tc>
        <w:tc>
          <w:tcPr>
            <w:tcW w:type="dxa" w:w="3024"/>
            <w:vAlign w:val="center"/>
          </w:tcPr>
          <w:p>
            <w:r/>
            <w:r>
              <w:rPr>
                <w:b w:val="0"/>
                <w:sz w:val="18"/>
              </w:rPr>
              <w:t>Authentication and name resolution</w:t>
            </w:r>
          </w:p>
        </w:tc>
      </w:tr>
      <w:tr>
        <w:tc>
          <w:tcPr>
            <w:tcW w:type="dxa" w:w="1584"/>
            <w:vAlign w:val="center"/>
          </w:tcPr>
          <w:p>
            <w:r/>
            <w:r>
              <w:rPr>
                <w:b w:val="0"/>
                <w:sz w:val="18"/>
              </w:rPr>
              <w:t>Client</w:t>
            </w:r>
          </w:p>
        </w:tc>
        <w:tc>
          <w:tcPr>
            <w:tcW w:type="dxa" w:w="2448"/>
            <w:vAlign w:val="center"/>
          </w:tcPr>
          <w:p>
            <w:r/>
            <w:r>
              <w:rPr>
                <w:b w:val="0"/>
                <w:sz w:val="18"/>
              </w:rPr>
              <w:t>Application servers</w:t>
            </w:r>
          </w:p>
        </w:tc>
        <w:tc>
          <w:tcPr>
            <w:tcW w:type="dxa" w:w="3600"/>
            <w:vAlign w:val="center"/>
          </w:tcPr>
          <w:p>
            <w:r/>
            <w:r>
              <w:rPr>
                <w:b w:val="0"/>
                <w:sz w:val="18"/>
              </w:rPr>
              <w:t>Allow required application ports</w:t>
            </w:r>
          </w:p>
        </w:tc>
        <w:tc>
          <w:tcPr>
            <w:tcW w:type="dxa" w:w="3024"/>
            <w:vAlign w:val="center"/>
          </w:tcPr>
          <w:p>
            <w:r/>
            <w:r>
              <w:rPr>
                <w:b w:val="0"/>
                <w:sz w:val="18"/>
              </w:rPr>
              <w:t>Least-privilege access</w:t>
            </w:r>
          </w:p>
        </w:tc>
      </w:tr>
      <w:tr>
        <w:tc>
          <w:tcPr>
            <w:tcW w:type="dxa" w:w="1584"/>
            <w:vAlign w:val="center"/>
          </w:tcPr>
          <w:p>
            <w:r/>
            <w:r>
              <w:rPr>
                <w:b w:val="0"/>
                <w:sz w:val="18"/>
              </w:rPr>
              <w:t>DMZ</w:t>
            </w:r>
          </w:p>
        </w:tc>
        <w:tc>
          <w:tcPr>
            <w:tcW w:type="dxa" w:w="2448"/>
            <w:vAlign w:val="center"/>
          </w:tcPr>
          <w:p>
            <w:r/>
            <w:r>
              <w:rPr>
                <w:b w:val="0"/>
                <w:sz w:val="18"/>
              </w:rPr>
              <w:t>DB01</w:t>
            </w:r>
          </w:p>
        </w:tc>
        <w:tc>
          <w:tcPr>
            <w:tcW w:type="dxa" w:w="3600"/>
            <w:vAlign w:val="center"/>
          </w:tcPr>
          <w:p>
            <w:r/>
            <w:r>
              <w:rPr>
                <w:b w:val="0"/>
                <w:sz w:val="18"/>
              </w:rPr>
              <w:t>Allow only required database port</w:t>
            </w:r>
          </w:p>
        </w:tc>
        <w:tc>
          <w:tcPr>
            <w:tcW w:type="dxa" w:w="3024"/>
            <w:vAlign w:val="center"/>
          </w:tcPr>
          <w:p>
            <w:r/>
            <w:r>
              <w:rPr>
                <w:b w:val="0"/>
                <w:sz w:val="18"/>
              </w:rPr>
              <w:t>Controlled application flow</w:t>
            </w:r>
          </w:p>
        </w:tc>
      </w:tr>
      <w:tr>
        <w:tc>
          <w:tcPr>
            <w:tcW w:type="dxa" w:w="1584"/>
            <w:vAlign w:val="center"/>
          </w:tcPr>
          <w:p>
            <w:r/>
            <w:r>
              <w:rPr>
                <w:b w:val="0"/>
                <w:sz w:val="18"/>
              </w:rPr>
              <w:t>DMZ</w:t>
            </w:r>
          </w:p>
        </w:tc>
        <w:tc>
          <w:tcPr>
            <w:tcW w:type="dxa" w:w="2448"/>
            <w:vAlign w:val="center"/>
          </w:tcPr>
          <w:p>
            <w:r/>
            <w:r>
              <w:rPr>
                <w:b w:val="0"/>
                <w:sz w:val="18"/>
              </w:rPr>
              <w:t>DC01</w:t>
            </w:r>
          </w:p>
        </w:tc>
        <w:tc>
          <w:tcPr>
            <w:tcW w:type="dxa" w:w="3600"/>
            <w:vAlign w:val="center"/>
          </w:tcPr>
          <w:p>
            <w:r/>
            <w:r>
              <w:rPr>
                <w:b w:val="0"/>
                <w:sz w:val="18"/>
              </w:rPr>
              <w:t>Deny by default</w:t>
            </w:r>
          </w:p>
        </w:tc>
        <w:tc>
          <w:tcPr>
            <w:tcW w:type="dxa" w:w="3024"/>
            <w:vAlign w:val="center"/>
          </w:tcPr>
          <w:p>
            <w:r/>
            <w:r>
              <w:rPr>
                <w:b w:val="0"/>
                <w:sz w:val="18"/>
              </w:rPr>
              <w:t>Protect identity infrastructure</w:t>
            </w:r>
          </w:p>
        </w:tc>
      </w:tr>
      <w:tr>
        <w:tc>
          <w:tcPr>
            <w:tcW w:type="dxa" w:w="1584"/>
            <w:vAlign w:val="center"/>
          </w:tcPr>
          <w:p>
            <w:r/>
            <w:r>
              <w:rPr>
                <w:b w:val="0"/>
                <w:sz w:val="18"/>
              </w:rPr>
              <w:t>Servers</w:t>
            </w:r>
          </w:p>
        </w:tc>
        <w:tc>
          <w:tcPr>
            <w:tcW w:type="dxa" w:w="2448"/>
            <w:vAlign w:val="center"/>
          </w:tcPr>
          <w:p>
            <w:r/>
            <w:r>
              <w:rPr>
                <w:b w:val="0"/>
                <w:sz w:val="18"/>
              </w:rPr>
              <w:t>Internet</w:t>
            </w:r>
          </w:p>
        </w:tc>
        <w:tc>
          <w:tcPr>
            <w:tcW w:type="dxa" w:w="3600"/>
            <w:vAlign w:val="center"/>
          </w:tcPr>
          <w:p>
            <w:r/>
            <w:r>
              <w:rPr>
                <w:b w:val="0"/>
                <w:sz w:val="18"/>
              </w:rPr>
              <w:t>Allow required outbound traffic</w:t>
            </w:r>
          </w:p>
        </w:tc>
        <w:tc>
          <w:tcPr>
            <w:tcW w:type="dxa" w:w="3024"/>
            <w:vAlign w:val="center"/>
          </w:tcPr>
          <w:p>
            <w:r/>
            <w:r>
              <w:rPr>
                <w:b w:val="0"/>
                <w:sz w:val="18"/>
              </w:rPr>
              <w:t>Limit unnecessary egress</w:t>
            </w:r>
          </w:p>
        </w:tc>
      </w:tr>
      <w:tr>
        <w:tc>
          <w:tcPr>
            <w:tcW w:type="dxa" w:w="1584"/>
            <w:vAlign w:val="center"/>
          </w:tcPr>
          <w:p>
            <w:r/>
            <w:r>
              <w:rPr>
                <w:b w:val="0"/>
                <w:sz w:val="18"/>
              </w:rPr>
              <w:t>VLAN 94</w:t>
            </w:r>
          </w:p>
        </w:tc>
        <w:tc>
          <w:tcPr>
            <w:tcW w:type="dxa" w:w="2448"/>
            <w:vAlign w:val="center"/>
          </w:tcPr>
          <w:p>
            <w:r/>
            <w:r>
              <w:rPr>
                <w:b w:val="0"/>
                <w:sz w:val="18"/>
              </w:rPr>
              <w:t>Proxmox management</w:t>
            </w:r>
          </w:p>
        </w:tc>
        <w:tc>
          <w:tcPr>
            <w:tcW w:type="dxa" w:w="3600"/>
            <w:vAlign w:val="center"/>
          </w:tcPr>
          <w:p>
            <w:r/>
            <w:r>
              <w:rPr>
                <w:b w:val="0"/>
                <w:sz w:val="18"/>
              </w:rPr>
              <w:t>Allow approved management access</w:t>
            </w:r>
          </w:p>
        </w:tc>
        <w:tc>
          <w:tcPr>
            <w:tcW w:type="dxa" w:w="3024"/>
            <w:vAlign w:val="center"/>
          </w:tcPr>
          <w:p>
            <w:r/>
            <w:r>
              <w:rPr>
                <w:b w:val="0"/>
                <w:sz w:val="18"/>
              </w:rPr>
              <w:t>Hypervisor administration</w:t>
            </w:r>
          </w:p>
        </w:tc>
      </w:tr>
      <w:tr>
        <w:tc>
          <w:tcPr>
            <w:tcW w:type="dxa" w:w="1584"/>
            <w:vAlign w:val="center"/>
          </w:tcPr>
          <w:p>
            <w:r/>
            <w:r>
              <w:rPr>
                <w:b w:val="0"/>
                <w:sz w:val="18"/>
              </w:rPr>
              <w:t>Any</w:t>
            </w:r>
          </w:p>
        </w:tc>
        <w:tc>
          <w:tcPr>
            <w:tcW w:type="dxa" w:w="2448"/>
            <w:vAlign w:val="center"/>
          </w:tcPr>
          <w:p>
            <w:r/>
            <w:r>
              <w:rPr>
                <w:b w:val="0"/>
                <w:sz w:val="18"/>
              </w:rPr>
              <w:t>Any</w:t>
            </w:r>
          </w:p>
        </w:tc>
        <w:tc>
          <w:tcPr>
            <w:tcW w:type="dxa" w:w="3600"/>
            <w:vAlign w:val="center"/>
          </w:tcPr>
          <w:p>
            <w:r/>
            <w:r>
              <w:rPr>
                <w:b w:val="0"/>
                <w:sz w:val="18"/>
              </w:rPr>
              <w:t>Deny by default where practical</w:t>
            </w:r>
          </w:p>
        </w:tc>
        <w:tc>
          <w:tcPr>
            <w:tcW w:type="dxa" w:w="3024"/>
            <w:vAlign w:val="center"/>
          </w:tcPr>
          <w:p>
            <w:r/>
            <w:r>
              <w:rPr>
                <w:b w:val="0"/>
                <w:sz w:val="18"/>
              </w:rPr>
              <w:t>Zero Trust principle</w:t>
            </w:r>
          </w:p>
        </w:tc>
      </w:tr>
    </w:tbl>
    <w:p/>
    <w:p>
      <w:pPr>
        <w:pStyle w:val="Heading1"/>
      </w:pPr>
      <w:r>
        <w:t>6. Active Directory and Internal DNS</w:t>
      </w:r>
    </w:p>
    <w:p>
      <w:r>
        <w:t>A Windows Server VM provides Active Directory Domain Services and internal DNS for the ad.hybridlab.shop domain. Domain-joined Windows systems use DC01 for DNS so that Active Directory services can be discovered correctly. Selected Group Policy Objects enforce workstation, server, administrator, and auditing settings.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r/>
            <w:r>
              <w:rPr>
                <w:b/>
                <w:sz w:val="18"/>
              </w:rPr>
              <w:t>System</w:t>
            </w:r>
          </w:p>
        </w:tc>
        <w:tc>
          <w:tcPr>
            <w:tcW w:type="dxa" w:w="3888"/>
            <w:vAlign w:val="center"/>
            <w:shd w:fill="D9EAF7"/>
          </w:tcPr>
          <w:p>
            <w:r/>
            <w:r>
              <w:rPr>
                <w:b/>
                <w:sz w:val="18"/>
              </w:rPr>
              <w:t>FQDN</w:t>
            </w:r>
          </w:p>
        </w:tc>
        <w:tc>
          <w:tcPr>
            <w:tcW w:type="dxa" w:w="2160"/>
            <w:vAlign w:val="center"/>
            <w:shd w:fill="D9EAF7"/>
          </w:tcPr>
          <w:p>
            <w:r/>
            <w:r>
              <w:rPr>
                <w:b/>
                <w:sz w:val="18"/>
              </w:rPr>
              <w:t>IP</w:t>
            </w:r>
          </w:p>
        </w:tc>
        <w:tc>
          <w:tcPr>
            <w:tcW w:type="dxa" w:w="3024"/>
            <w:vAlign w:val="center"/>
            <w:shd w:fill="D9EAF7"/>
          </w:tcPr>
          <w:p>
            <w:r/>
            <w:r>
              <w:rPr>
                <w:b/>
                <w:sz w:val="18"/>
              </w:rPr>
              <w:t>Role</w:t>
            </w:r>
          </w:p>
        </w:tc>
      </w:tr>
      <w:tr>
        <w:tc>
          <w:tcPr>
            <w:tcW w:type="dxa" w:w="1440"/>
            <w:vAlign w:val="center"/>
          </w:tcPr>
          <w:p>
            <w:r/>
            <w:r>
              <w:rPr>
                <w:b w:val="0"/>
                <w:sz w:val="18"/>
              </w:rPr>
              <w:t>DC01</w:t>
            </w:r>
          </w:p>
        </w:tc>
        <w:tc>
          <w:tcPr>
            <w:tcW w:type="dxa" w:w="3888"/>
            <w:vAlign w:val="center"/>
          </w:tcPr>
          <w:p>
            <w:r/>
            <w:r>
              <w:rPr>
                <w:b w:val="0"/>
                <w:sz w:val="18"/>
              </w:rPr>
              <w:t>dc01.ad.hybridlab.shop</w:t>
            </w:r>
          </w:p>
        </w:tc>
        <w:tc>
          <w:tcPr>
            <w:tcW w:type="dxa" w:w="2160"/>
            <w:vAlign w:val="center"/>
          </w:tcPr>
          <w:p>
            <w:r/>
            <w:r>
              <w:rPr>
                <w:b w:val="0"/>
                <w:sz w:val="18"/>
              </w:rPr>
              <w:t>172.20.20.10</w:t>
            </w:r>
          </w:p>
        </w:tc>
        <w:tc>
          <w:tcPr>
            <w:tcW w:type="dxa" w:w="3024"/>
            <w:vAlign w:val="center"/>
          </w:tcPr>
          <w:p>
            <w:r/>
            <w:r>
              <w:rPr>
                <w:b w:val="0"/>
                <w:sz w:val="18"/>
              </w:rPr>
              <w:t>AD DS + DNS</w:t>
            </w:r>
          </w:p>
        </w:tc>
      </w:tr>
      <w:tr>
        <w:tc>
          <w:tcPr>
            <w:tcW w:type="dxa" w:w="1440"/>
            <w:vAlign w:val="center"/>
          </w:tcPr>
          <w:p>
            <w:r/>
            <w:r>
              <w:rPr>
                <w:b w:val="0"/>
                <w:sz w:val="18"/>
              </w:rPr>
              <w:t>ANS01</w:t>
            </w:r>
          </w:p>
        </w:tc>
        <w:tc>
          <w:tcPr>
            <w:tcW w:type="dxa" w:w="3888"/>
            <w:vAlign w:val="center"/>
          </w:tcPr>
          <w:p>
            <w:r/>
            <w:r>
              <w:rPr>
                <w:b w:val="0"/>
                <w:sz w:val="18"/>
              </w:rPr>
              <w:t>ans01.ad.hybridlab.shop</w:t>
            </w:r>
          </w:p>
        </w:tc>
        <w:tc>
          <w:tcPr>
            <w:tcW w:type="dxa" w:w="2160"/>
            <w:vAlign w:val="center"/>
          </w:tcPr>
          <w:p>
            <w:r/>
            <w:r>
              <w:rPr>
                <w:b w:val="0"/>
                <w:sz w:val="18"/>
              </w:rPr>
              <w:t>172.20.20.20</w:t>
            </w:r>
          </w:p>
        </w:tc>
        <w:tc>
          <w:tcPr>
            <w:tcW w:type="dxa" w:w="3024"/>
            <w:vAlign w:val="center"/>
          </w:tcPr>
          <w:p>
            <w:r/>
            <w:r>
              <w:rPr>
                <w:b w:val="0"/>
                <w:sz w:val="18"/>
              </w:rPr>
              <w:t>Ansible automation</w:t>
            </w:r>
          </w:p>
        </w:tc>
      </w:tr>
      <w:tr>
        <w:tc>
          <w:tcPr>
            <w:tcW w:type="dxa" w:w="1440"/>
            <w:vAlign w:val="center"/>
          </w:tcPr>
          <w:p>
            <w:r/>
            <w:r>
              <w:rPr>
                <w:b w:val="0"/>
                <w:sz w:val="18"/>
              </w:rPr>
              <w:t>APP01</w:t>
            </w:r>
          </w:p>
        </w:tc>
        <w:tc>
          <w:tcPr>
            <w:tcW w:type="dxa" w:w="3888"/>
            <w:vAlign w:val="center"/>
          </w:tcPr>
          <w:p>
            <w:r/>
            <w:r>
              <w:rPr>
                <w:b w:val="0"/>
                <w:sz w:val="18"/>
              </w:rPr>
              <w:t>app01.ad.hybridlab.shop</w:t>
            </w:r>
          </w:p>
        </w:tc>
        <w:tc>
          <w:tcPr>
            <w:tcW w:type="dxa" w:w="2160"/>
            <w:vAlign w:val="center"/>
          </w:tcPr>
          <w:p>
            <w:r/>
            <w:r>
              <w:rPr>
                <w:b w:val="0"/>
                <w:sz w:val="18"/>
              </w:rPr>
              <w:t>172.20.20.30</w:t>
            </w:r>
          </w:p>
        </w:tc>
        <w:tc>
          <w:tcPr>
            <w:tcW w:type="dxa" w:w="3024"/>
            <w:vAlign w:val="center"/>
          </w:tcPr>
          <w:p>
            <w:r/>
            <w:r>
              <w:rPr>
                <w:b w:val="0"/>
                <w:sz w:val="18"/>
              </w:rPr>
              <w:t>Application server</w:t>
            </w:r>
          </w:p>
        </w:tc>
      </w:tr>
      <w:tr>
        <w:tc>
          <w:tcPr>
            <w:tcW w:type="dxa" w:w="1440"/>
            <w:vAlign w:val="center"/>
          </w:tcPr>
          <w:p>
            <w:r/>
            <w:r>
              <w:rPr>
                <w:b w:val="0"/>
                <w:sz w:val="18"/>
              </w:rPr>
              <w:t>DB01</w:t>
            </w:r>
          </w:p>
        </w:tc>
        <w:tc>
          <w:tcPr>
            <w:tcW w:type="dxa" w:w="3888"/>
            <w:vAlign w:val="center"/>
          </w:tcPr>
          <w:p>
            <w:r/>
            <w:r>
              <w:rPr>
                <w:b w:val="0"/>
                <w:sz w:val="18"/>
              </w:rPr>
              <w:t>db01.ad.hybridlab.shop</w:t>
            </w:r>
          </w:p>
        </w:tc>
        <w:tc>
          <w:tcPr>
            <w:tcW w:type="dxa" w:w="2160"/>
            <w:vAlign w:val="center"/>
          </w:tcPr>
          <w:p>
            <w:r/>
            <w:r>
              <w:rPr>
                <w:b w:val="0"/>
                <w:sz w:val="18"/>
              </w:rPr>
              <w:t>172.20.20.40</w:t>
            </w:r>
          </w:p>
        </w:tc>
        <w:tc>
          <w:tcPr>
            <w:tcW w:type="dxa" w:w="3024"/>
            <w:vAlign w:val="center"/>
          </w:tcPr>
          <w:p>
            <w:r/>
            <w:r>
              <w:rPr>
                <w:b w:val="0"/>
                <w:sz w:val="18"/>
              </w:rPr>
              <w:t>Database workload</w:t>
            </w:r>
          </w:p>
        </w:tc>
      </w:tr>
      <w:tr>
        <w:tc>
          <w:tcPr>
            <w:tcW w:type="dxa" w:w="1440"/>
            <w:vAlign w:val="center"/>
          </w:tcPr>
          <w:p>
            <w:r/>
            <w:r>
              <w:rPr>
                <w:b w:val="0"/>
                <w:sz w:val="18"/>
              </w:rPr>
              <w:t>WIN01</w:t>
            </w:r>
          </w:p>
        </w:tc>
        <w:tc>
          <w:tcPr>
            <w:tcW w:type="dxa" w:w="3888"/>
            <w:vAlign w:val="center"/>
          </w:tcPr>
          <w:p>
            <w:r/>
            <w:r>
              <w:rPr>
                <w:b w:val="0"/>
                <w:sz w:val="18"/>
              </w:rPr>
              <w:t>win01.ad.hybridlab.shop</w:t>
            </w:r>
          </w:p>
        </w:tc>
        <w:tc>
          <w:tcPr>
            <w:tcW w:type="dxa" w:w="2160"/>
            <w:vAlign w:val="center"/>
          </w:tcPr>
          <w:p>
            <w:r/>
            <w:r>
              <w:rPr>
                <w:b w:val="0"/>
                <w:sz w:val="18"/>
              </w:rPr>
              <w:t>172.20.30.10</w:t>
            </w:r>
          </w:p>
        </w:tc>
        <w:tc>
          <w:tcPr>
            <w:tcW w:type="dxa" w:w="3024"/>
            <w:vAlign w:val="center"/>
          </w:tcPr>
          <w:p>
            <w:r/>
            <w:r>
              <w:rPr>
                <w:b w:val="0"/>
                <w:sz w:val="18"/>
              </w:rPr>
              <w:t>Domain-joined client</w:t>
            </w:r>
          </w:p>
        </w:tc>
      </w:tr>
      <w:tr>
        <w:tc>
          <w:tcPr>
            <w:tcW w:type="dxa" w:w="1440"/>
            <w:vAlign w:val="center"/>
          </w:tcPr>
          <w:p>
            <w:r/>
            <w:r>
              <w:rPr>
                <w:b w:val="0"/>
                <w:sz w:val="18"/>
              </w:rPr>
              <w:t>WEB01</w:t>
            </w:r>
          </w:p>
        </w:tc>
        <w:tc>
          <w:tcPr>
            <w:tcW w:type="dxa" w:w="3888"/>
            <w:vAlign w:val="center"/>
          </w:tcPr>
          <w:p>
            <w:r/>
            <w:r>
              <w:rPr>
                <w:b w:val="0"/>
                <w:sz w:val="18"/>
              </w:rPr>
              <w:t>web01.dmz.hybridlab.shop</w:t>
            </w:r>
          </w:p>
        </w:tc>
        <w:tc>
          <w:tcPr>
            <w:tcW w:type="dxa" w:w="2160"/>
            <w:vAlign w:val="center"/>
          </w:tcPr>
          <w:p>
            <w:r/>
            <w:r>
              <w:rPr>
                <w:b w:val="0"/>
                <w:sz w:val="18"/>
              </w:rPr>
              <w:t>172.20.40.10</w:t>
            </w:r>
          </w:p>
        </w:tc>
        <w:tc>
          <w:tcPr>
            <w:tcW w:type="dxa" w:w="3024"/>
            <w:vAlign w:val="center"/>
          </w:tcPr>
          <w:p>
            <w:r/>
            <w:r>
              <w:rPr>
                <w:b w:val="0"/>
                <w:sz w:val="18"/>
              </w:rPr>
              <w:t>DMZ web server</w:t>
            </w:r>
          </w:p>
        </w:tc>
      </w:tr>
    </w:tbl>
    <w:p/>
    <w:p>
      <w:r>
        <w:t>Suggested Active Directory organizational units: Users, Computers, Servers, Groups, and Service Accounts.</w:t>
      </w:r>
    </w:p>
    <w:p>
      <w:r>
        <w:t>Suggested security groups: IT Administrators, Web Users, Database Administrators, and Security Team.</w:t>
      </w:r>
    </w:p>
    <w:p>
      <w:pPr>
        <w:pStyle w:val="Heading1"/>
      </w:pPr>
      <w:r>
        <w:t>7. AWS Hybrid Cloud Architecture</w:t>
      </w:r>
    </w:p>
    <w:p>
      <w:r>
        <w:t>AWS provides the cloud side of the hybrid environment. The initial design uses one VPC with separate public and private subnets. Resources should be kept small and temporary where possible so the environment remains within the available student credits.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AWS Component</w:t>
            </w:r>
          </w:p>
        </w:tc>
        <w:tc>
          <w:tcPr>
            <w:tcW w:type="dxa" w:w="2880"/>
            <w:vAlign w:val="center"/>
            <w:shd w:fill="D9EAF7"/>
          </w:tcPr>
          <w:p>
            <w:r/>
            <w:r>
              <w:rPr>
                <w:b/>
                <w:sz w:val="18"/>
              </w:rPr>
              <w:t>Address / Type</w:t>
            </w:r>
          </w:p>
        </w:tc>
        <w:tc>
          <w:tcPr>
            <w:tcW w:type="dxa" w:w="4464"/>
            <w:vAlign w:val="center"/>
            <w:shd w:fill="D9EAF7"/>
          </w:tcPr>
          <w:p>
            <w:r/>
            <w:r>
              <w:rPr>
                <w:b/>
                <w:sz w:val="18"/>
              </w:rPr>
              <w:t>Purpose</w:t>
            </w:r>
          </w:p>
        </w:tc>
      </w:tr>
      <w:tr>
        <w:tc>
          <w:tcPr>
            <w:tcW w:type="dxa" w:w="2304"/>
            <w:vAlign w:val="center"/>
          </w:tcPr>
          <w:p>
            <w:r/>
            <w:r>
              <w:rPr>
                <w:b w:val="0"/>
                <w:sz w:val="18"/>
              </w:rPr>
              <w:t>VPC</w:t>
            </w:r>
          </w:p>
        </w:tc>
        <w:tc>
          <w:tcPr>
            <w:tcW w:type="dxa" w:w="2880"/>
            <w:vAlign w:val="center"/>
          </w:tcPr>
          <w:p>
            <w:r/>
            <w:r>
              <w:rPr>
                <w:b w:val="0"/>
                <w:sz w:val="18"/>
              </w:rPr>
              <w:t>10.20.0.0/16</w:t>
            </w:r>
          </w:p>
        </w:tc>
        <w:tc>
          <w:tcPr>
            <w:tcW w:type="dxa" w:w="4464"/>
            <w:vAlign w:val="center"/>
          </w:tcPr>
          <w:p>
            <w:r/>
            <w:r>
              <w:rPr>
                <w:b w:val="0"/>
                <w:sz w:val="18"/>
              </w:rPr>
              <w:t>Cloud network</w:t>
            </w:r>
          </w:p>
        </w:tc>
      </w:tr>
      <w:tr>
        <w:tc>
          <w:tcPr>
            <w:tcW w:type="dxa" w:w="2304"/>
            <w:vAlign w:val="center"/>
          </w:tcPr>
          <w:p>
            <w:r/>
            <w:r>
              <w:rPr>
                <w:b w:val="0"/>
                <w:sz w:val="18"/>
              </w:rPr>
              <w:t>Public Subnet</w:t>
            </w:r>
          </w:p>
        </w:tc>
        <w:tc>
          <w:tcPr>
            <w:tcW w:type="dxa" w:w="2880"/>
            <w:vAlign w:val="center"/>
          </w:tcPr>
          <w:p>
            <w:r/>
            <w:r>
              <w:rPr>
                <w:b w:val="0"/>
                <w:sz w:val="18"/>
              </w:rPr>
              <w:t>10.20.10.0/24</w:t>
            </w:r>
          </w:p>
        </w:tc>
        <w:tc>
          <w:tcPr>
            <w:tcW w:type="dxa" w:w="4464"/>
            <w:vAlign w:val="center"/>
          </w:tcPr>
          <w:p>
            <w:r/>
            <w:r>
              <w:rPr>
                <w:b w:val="0"/>
                <w:sz w:val="18"/>
              </w:rPr>
              <w:t>VPN edge or intentionally public workload</w:t>
            </w:r>
          </w:p>
        </w:tc>
      </w:tr>
      <w:tr>
        <w:tc>
          <w:tcPr>
            <w:tcW w:type="dxa" w:w="2304"/>
            <w:vAlign w:val="center"/>
          </w:tcPr>
          <w:p>
            <w:r/>
            <w:r>
              <w:rPr>
                <w:b w:val="0"/>
                <w:sz w:val="18"/>
              </w:rPr>
              <w:t>Private Subnet</w:t>
            </w:r>
          </w:p>
        </w:tc>
        <w:tc>
          <w:tcPr>
            <w:tcW w:type="dxa" w:w="2880"/>
            <w:vAlign w:val="center"/>
          </w:tcPr>
          <w:p>
            <w:r/>
            <w:r>
              <w:rPr>
                <w:b w:val="0"/>
                <w:sz w:val="18"/>
              </w:rPr>
              <w:t>10.20.20.0/24</w:t>
            </w:r>
          </w:p>
        </w:tc>
        <w:tc>
          <w:tcPr>
            <w:tcW w:type="dxa" w:w="4464"/>
            <w:vAlign w:val="center"/>
          </w:tcPr>
          <w:p>
            <w:r/>
            <w:r>
              <w:rPr>
                <w:b w:val="0"/>
                <w:sz w:val="18"/>
              </w:rPr>
              <w:t>Private AWS workloads</w:t>
            </w:r>
          </w:p>
        </w:tc>
      </w:tr>
      <w:tr>
        <w:tc>
          <w:tcPr>
            <w:tcW w:type="dxa" w:w="2304"/>
            <w:vAlign w:val="center"/>
          </w:tcPr>
          <w:p>
            <w:r/>
            <w:r>
              <w:rPr>
                <w:b w:val="0"/>
                <w:sz w:val="18"/>
              </w:rPr>
              <w:t>EC2</w:t>
            </w:r>
          </w:p>
        </w:tc>
        <w:tc>
          <w:tcPr>
            <w:tcW w:type="dxa" w:w="2880"/>
            <w:vAlign w:val="center"/>
          </w:tcPr>
          <w:p>
            <w:r/>
            <w:r>
              <w:rPr>
                <w:b w:val="0"/>
                <w:sz w:val="18"/>
              </w:rPr>
              <w:t>Small instance(s)</w:t>
            </w:r>
          </w:p>
        </w:tc>
        <w:tc>
          <w:tcPr>
            <w:tcW w:type="dxa" w:w="4464"/>
            <w:vAlign w:val="center"/>
          </w:tcPr>
          <w:p>
            <w:r/>
            <w:r>
              <w:rPr>
                <w:b w:val="0"/>
                <w:sz w:val="18"/>
              </w:rPr>
              <w:t>Application/testing workload</w:t>
            </w:r>
          </w:p>
        </w:tc>
      </w:tr>
      <w:tr>
        <w:tc>
          <w:tcPr>
            <w:tcW w:type="dxa" w:w="2304"/>
            <w:vAlign w:val="center"/>
          </w:tcPr>
          <w:p>
            <w:r/>
            <w:r>
              <w:rPr>
                <w:b w:val="0"/>
                <w:sz w:val="18"/>
              </w:rPr>
              <w:t>Security Groups</w:t>
            </w:r>
          </w:p>
        </w:tc>
        <w:tc>
          <w:tcPr>
            <w:tcW w:type="dxa" w:w="2880"/>
            <w:vAlign w:val="center"/>
          </w:tcPr>
          <w:p>
            <w:r/>
            <w:r>
              <w:rPr>
                <w:b w:val="0"/>
                <w:sz w:val="18"/>
              </w:rPr>
              <w:t>Stateful rules</w:t>
            </w:r>
          </w:p>
        </w:tc>
        <w:tc>
          <w:tcPr>
            <w:tcW w:type="dxa" w:w="4464"/>
            <w:vAlign w:val="center"/>
          </w:tcPr>
          <w:p>
            <w:r/>
            <w:r>
              <w:rPr>
                <w:b w:val="0"/>
                <w:sz w:val="18"/>
              </w:rPr>
              <w:t>Instance-level network control</w:t>
            </w:r>
          </w:p>
        </w:tc>
      </w:tr>
      <w:tr>
        <w:tc>
          <w:tcPr>
            <w:tcW w:type="dxa" w:w="2304"/>
            <w:vAlign w:val="center"/>
          </w:tcPr>
          <w:p>
            <w:r/>
            <w:r>
              <w:rPr>
                <w:b w:val="0"/>
                <w:sz w:val="18"/>
              </w:rPr>
              <w:t>IAM</w:t>
            </w:r>
          </w:p>
        </w:tc>
        <w:tc>
          <w:tcPr>
            <w:tcW w:type="dxa" w:w="2880"/>
            <w:vAlign w:val="center"/>
          </w:tcPr>
          <w:p>
            <w:r/>
            <w:r>
              <w:rPr>
                <w:b w:val="0"/>
                <w:sz w:val="18"/>
              </w:rPr>
              <w:t>Least privilege</w:t>
            </w:r>
          </w:p>
        </w:tc>
        <w:tc>
          <w:tcPr>
            <w:tcW w:type="dxa" w:w="4464"/>
            <w:vAlign w:val="center"/>
          </w:tcPr>
          <w:p>
            <w:r/>
            <w:r>
              <w:rPr>
                <w:b w:val="0"/>
                <w:sz w:val="18"/>
              </w:rPr>
              <w:t>Cloud identities and permissions</w:t>
            </w:r>
          </w:p>
        </w:tc>
      </w:tr>
      <w:tr>
        <w:tc>
          <w:tcPr>
            <w:tcW w:type="dxa" w:w="2304"/>
            <w:vAlign w:val="center"/>
          </w:tcPr>
          <w:p>
            <w:r/>
            <w:r>
              <w:rPr>
                <w:b w:val="0"/>
                <w:sz w:val="18"/>
              </w:rPr>
              <w:t>CloudWatch</w:t>
            </w:r>
          </w:p>
        </w:tc>
        <w:tc>
          <w:tcPr>
            <w:tcW w:type="dxa" w:w="2880"/>
            <w:vAlign w:val="center"/>
          </w:tcPr>
          <w:p>
            <w:r/>
            <w:r>
              <w:rPr>
                <w:b w:val="0"/>
                <w:sz w:val="18"/>
              </w:rPr>
              <w:t>Monitoring service</w:t>
            </w:r>
          </w:p>
        </w:tc>
        <w:tc>
          <w:tcPr>
            <w:tcW w:type="dxa" w:w="4464"/>
            <w:vAlign w:val="center"/>
          </w:tcPr>
          <w:p>
            <w:r/>
            <w:r>
              <w:rPr>
                <w:b w:val="0"/>
                <w:sz w:val="18"/>
              </w:rPr>
              <w:t>Metrics and alarms</w:t>
            </w:r>
          </w:p>
        </w:tc>
      </w:tr>
      <w:tr>
        <w:tc>
          <w:tcPr>
            <w:tcW w:type="dxa" w:w="2304"/>
            <w:vAlign w:val="center"/>
          </w:tcPr>
          <w:p>
            <w:r/>
            <w:r>
              <w:rPr>
                <w:b w:val="0"/>
                <w:sz w:val="18"/>
              </w:rPr>
              <w:t>CloudTrail</w:t>
            </w:r>
          </w:p>
        </w:tc>
        <w:tc>
          <w:tcPr>
            <w:tcW w:type="dxa" w:w="2880"/>
            <w:vAlign w:val="center"/>
          </w:tcPr>
          <w:p>
            <w:r/>
            <w:r>
              <w:rPr>
                <w:b w:val="0"/>
                <w:sz w:val="18"/>
              </w:rPr>
              <w:t>Audit service</w:t>
            </w:r>
          </w:p>
        </w:tc>
        <w:tc>
          <w:tcPr>
            <w:tcW w:type="dxa" w:w="4464"/>
            <w:vAlign w:val="center"/>
          </w:tcPr>
          <w:p>
            <w:r/>
            <w:r>
              <w:rPr>
                <w:b w:val="0"/>
                <w:sz w:val="18"/>
              </w:rPr>
              <w:t>AWS API/activity logging</w:t>
            </w:r>
          </w:p>
        </w:tc>
      </w:tr>
    </w:tbl>
    <w:p/>
    <w:p>
      <w:pPr>
        <w:pStyle w:val="Heading2"/>
      </w:pPr>
      <w:r>
        <w:t>7.1 Hybrid VPN</w:t>
      </w:r>
    </w:p>
    <w:p>
      <w:r>
        <w:t>OPNsense connects the on-premises environment to AWS through an encrypted VPN. The final VPN method will be chosen based on what the school network permits. Because the student VLAN may be behind upstream NAT, the design should support a NAT-friendly outbound tunnel if a traditional AWS Site-to-Site VPN cannot be used without school network changes.</w:t>
      </w:r>
    </w:p>
    <w:p>
      <w:pPr>
        <w:pStyle w:val="Heading1"/>
      </w:pPr>
      <w:r>
        <w:t>8. Infrastructure as Code and Automation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8"/>
              </w:rPr>
              <w:t>Tool</w:t>
            </w:r>
          </w:p>
        </w:tc>
        <w:tc>
          <w:tcPr>
            <w:tcW w:type="dxa" w:w="3744"/>
            <w:vAlign w:val="center"/>
            <w:shd w:fill="D9EAF7"/>
          </w:tcPr>
          <w:p>
            <w:r/>
            <w:r>
              <w:rPr>
                <w:b/>
                <w:sz w:val="18"/>
              </w:rPr>
              <w:t>Primary Responsibility</w:t>
            </w:r>
          </w:p>
        </w:tc>
        <w:tc>
          <w:tcPr>
            <w:tcW w:type="dxa" w:w="4320"/>
            <w:vAlign w:val="center"/>
            <w:shd w:fill="D9EAF7"/>
          </w:tcPr>
          <w:p>
            <w:r/>
            <w:r>
              <w:rPr>
                <w:b/>
                <w:sz w:val="18"/>
              </w:rPr>
              <w:t>Examples</w:t>
            </w:r>
          </w:p>
        </w:tc>
      </w:tr>
      <w:tr>
        <w:tc>
          <w:tcPr>
            <w:tcW w:type="dxa" w:w="2016"/>
            <w:vAlign w:val="center"/>
          </w:tcPr>
          <w:p>
            <w:r/>
            <w:r>
              <w:rPr>
                <w:b w:val="0"/>
                <w:sz w:val="18"/>
              </w:rPr>
              <w:t>Terraform</w:t>
            </w:r>
          </w:p>
        </w:tc>
        <w:tc>
          <w:tcPr>
            <w:tcW w:type="dxa" w:w="3744"/>
            <w:vAlign w:val="center"/>
          </w:tcPr>
          <w:p>
            <w:r/>
            <w:r>
              <w:rPr>
                <w:b w:val="0"/>
                <w:sz w:val="18"/>
              </w:rPr>
              <w:t>AWS infrastructure as code</w:t>
            </w:r>
          </w:p>
        </w:tc>
        <w:tc>
          <w:tcPr>
            <w:tcW w:type="dxa" w:w="4320"/>
            <w:vAlign w:val="center"/>
          </w:tcPr>
          <w:p>
            <w:r/>
            <w:r>
              <w:rPr>
                <w:b w:val="0"/>
                <w:sz w:val="18"/>
              </w:rPr>
              <w:t>VPC, subnets, routes, security groups, EC2, IAM</w:t>
            </w:r>
          </w:p>
        </w:tc>
      </w:tr>
      <w:tr>
        <w:tc>
          <w:tcPr>
            <w:tcW w:type="dxa" w:w="2016"/>
            <w:vAlign w:val="center"/>
          </w:tcPr>
          <w:p>
            <w:r/>
            <w:r>
              <w:rPr>
                <w:b w:val="0"/>
                <w:sz w:val="18"/>
              </w:rPr>
              <w:t>Ansible</w:t>
            </w:r>
          </w:p>
        </w:tc>
        <w:tc>
          <w:tcPr>
            <w:tcW w:type="dxa" w:w="3744"/>
            <w:vAlign w:val="center"/>
          </w:tcPr>
          <w:p>
            <w:r/>
            <w:r>
              <w:rPr>
                <w:b w:val="0"/>
                <w:sz w:val="18"/>
              </w:rPr>
              <w:t>Repeatable server configuration</w:t>
            </w:r>
          </w:p>
        </w:tc>
        <w:tc>
          <w:tcPr>
            <w:tcW w:type="dxa" w:w="4320"/>
            <w:vAlign w:val="center"/>
          </w:tcPr>
          <w:p>
            <w:r/>
            <w:r>
              <w:rPr>
                <w:b w:val="0"/>
                <w:sz w:val="18"/>
              </w:rPr>
              <w:t>Packages, services, files, Linux/Windows settings</w:t>
            </w:r>
          </w:p>
        </w:tc>
      </w:tr>
      <w:tr>
        <w:tc>
          <w:tcPr>
            <w:tcW w:type="dxa" w:w="2016"/>
            <w:vAlign w:val="center"/>
          </w:tcPr>
          <w:p>
            <w:r/>
            <w:r>
              <w:rPr>
                <w:b w:val="0"/>
                <w:sz w:val="18"/>
              </w:rPr>
              <w:t>PowerShell</w:t>
            </w:r>
          </w:p>
        </w:tc>
        <w:tc>
          <w:tcPr>
            <w:tcW w:type="dxa" w:w="3744"/>
            <w:vAlign w:val="center"/>
          </w:tcPr>
          <w:p>
            <w:r/>
            <w:r>
              <w:rPr>
                <w:b w:val="0"/>
                <w:sz w:val="18"/>
              </w:rPr>
              <w:t>Windows and AD automation</w:t>
            </w:r>
          </w:p>
        </w:tc>
        <w:tc>
          <w:tcPr>
            <w:tcW w:type="dxa" w:w="4320"/>
            <w:vAlign w:val="center"/>
          </w:tcPr>
          <w:p>
            <w:r/>
            <w:r>
              <w:rPr>
                <w:b w:val="0"/>
                <w:sz w:val="18"/>
              </w:rPr>
              <w:t>Users, groups, OU structure, Windows tasks</w:t>
            </w:r>
          </w:p>
        </w:tc>
      </w:tr>
      <w:tr>
        <w:tc>
          <w:tcPr>
            <w:tcW w:type="dxa" w:w="2016"/>
            <w:vAlign w:val="center"/>
          </w:tcPr>
          <w:p>
            <w:r/>
            <w:r>
              <w:rPr>
                <w:b w:val="0"/>
                <w:sz w:val="18"/>
              </w:rPr>
              <w:t>Git/GitHub</w:t>
            </w:r>
          </w:p>
        </w:tc>
        <w:tc>
          <w:tcPr>
            <w:tcW w:type="dxa" w:w="3744"/>
            <w:vAlign w:val="center"/>
          </w:tcPr>
          <w:p>
            <w:r/>
            <w:r>
              <w:rPr>
                <w:b w:val="0"/>
                <w:sz w:val="18"/>
              </w:rPr>
              <w:t>Version control</w:t>
            </w:r>
          </w:p>
        </w:tc>
        <w:tc>
          <w:tcPr>
            <w:tcW w:type="dxa" w:w="4320"/>
            <w:vAlign w:val="center"/>
          </w:tcPr>
          <w:p>
            <w:r/>
            <w:r>
              <w:rPr>
                <w:b w:val="0"/>
                <w:sz w:val="18"/>
              </w:rPr>
              <w:t>Terraform, playbooks, scripts, documentation</w:t>
            </w:r>
          </w:p>
        </w:tc>
      </w:tr>
    </w:tbl>
    <w:p/>
    <w:p>
      <w:r>
        <w:t>The automation goal is repeatability. The cloud environment should be deployable through Terraform, and server configuration should be reapplied through Ansible or PowerShell instead of relying entirely on manual configuration.</w:t>
      </w:r>
    </w:p>
    <w:p>
      <w:pPr>
        <w:pStyle w:val="Heading1"/>
      </w:pPr>
      <w:r>
        <w:t>9. Monitoring, Logging, and Recovery</w:t>
      </w:r>
    </w:p>
    <w:p>
      <w:r>
        <w:t>The project combines AWS CloudWatch and CloudTrail with Windows Event Logs, Linux logs, Proxmox visibility, and OPNsense firewall logs. Recovery demonstrations focus on a few realistic failures instead of attempting complete self-healing.</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8"/>
              </w:rPr>
              <w:t>Failure Scenario</w:t>
            </w:r>
          </w:p>
        </w:tc>
        <w:tc>
          <w:tcPr>
            <w:tcW w:type="dxa" w:w="2880"/>
            <w:vAlign w:val="center"/>
            <w:shd w:fill="D9EAF7"/>
          </w:tcPr>
          <w:p>
            <w:r/>
            <w:r>
              <w:rPr>
                <w:b/>
                <w:sz w:val="18"/>
              </w:rPr>
              <w:t>Detection</w:t>
            </w:r>
          </w:p>
        </w:tc>
        <w:tc>
          <w:tcPr>
            <w:tcW w:type="dxa" w:w="4032"/>
            <w:vAlign w:val="center"/>
            <w:shd w:fill="D9EAF7"/>
          </w:tcPr>
          <w:p>
            <w:r/>
            <w:r>
              <w:rPr>
                <w:b/>
                <w:sz w:val="18"/>
              </w:rPr>
              <w:t>Recovery</w:t>
            </w:r>
          </w:p>
        </w:tc>
      </w:tr>
      <w:tr>
        <w:tc>
          <w:tcPr>
            <w:tcW w:type="dxa" w:w="2880"/>
            <w:vAlign w:val="center"/>
          </w:tcPr>
          <w:p>
            <w:r/>
            <w:r>
              <w:rPr>
                <w:b w:val="0"/>
                <w:sz w:val="18"/>
              </w:rPr>
              <w:t>Web service stops</w:t>
            </w:r>
          </w:p>
        </w:tc>
        <w:tc>
          <w:tcPr>
            <w:tcW w:type="dxa" w:w="2880"/>
            <w:vAlign w:val="center"/>
          </w:tcPr>
          <w:p>
            <w:r/>
            <w:r>
              <w:rPr>
                <w:b w:val="0"/>
                <w:sz w:val="18"/>
              </w:rPr>
              <w:t>Service/host check</w:t>
            </w:r>
          </w:p>
        </w:tc>
        <w:tc>
          <w:tcPr>
            <w:tcW w:type="dxa" w:w="4032"/>
            <w:vAlign w:val="center"/>
          </w:tcPr>
          <w:p>
            <w:r/>
            <w:r>
              <w:rPr>
                <w:b w:val="0"/>
                <w:sz w:val="18"/>
              </w:rPr>
              <w:t>Restart service through automation</w:t>
            </w:r>
          </w:p>
        </w:tc>
      </w:tr>
      <w:tr>
        <w:tc>
          <w:tcPr>
            <w:tcW w:type="dxa" w:w="2880"/>
            <w:vAlign w:val="center"/>
          </w:tcPr>
          <w:p>
            <w:r/>
            <w:r>
              <w:rPr>
                <w:b w:val="0"/>
                <w:sz w:val="18"/>
              </w:rPr>
              <w:t>Configuration drift</w:t>
            </w:r>
          </w:p>
        </w:tc>
        <w:tc>
          <w:tcPr>
            <w:tcW w:type="dxa" w:w="2880"/>
            <w:vAlign w:val="center"/>
          </w:tcPr>
          <w:p>
            <w:r/>
            <w:r>
              <w:rPr>
                <w:b w:val="0"/>
                <w:sz w:val="18"/>
              </w:rPr>
              <w:t>Ansible validation</w:t>
            </w:r>
          </w:p>
        </w:tc>
        <w:tc>
          <w:tcPr>
            <w:tcW w:type="dxa" w:w="4032"/>
            <w:vAlign w:val="center"/>
          </w:tcPr>
          <w:p>
            <w:r/>
            <w:r>
              <w:rPr>
                <w:b w:val="0"/>
                <w:sz w:val="18"/>
              </w:rPr>
              <w:t>Reapply known-good configuration</w:t>
            </w:r>
          </w:p>
        </w:tc>
      </w:tr>
      <w:tr>
        <w:tc>
          <w:tcPr>
            <w:tcW w:type="dxa" w:w="2880"/>
            <w:vAlign w:val="center"/>
          </w:tcPr>
          <w:p>
            <w:r/>
            <w:r>
              <w:rPr>
                <w:b w:val="0"/>
                <w:sz w:val="18"/>
              </w:rPr>
              <w:t>AWS instance failure</w:t>
            </w:r>
          </w:p>
        </w:tc>
        <w:tc>
          <w:tcPr>
            <w:tcW w:type="dxa" w:w="2880"/>
            <w:vAlign w:val="center"/>
          </w:tcPr>
          <w:p>
            <w:r/>
            <w:r>
              <w:rPr>
                <w:b w:val="0"/>
                <w:sz w:val="18"/>
              </w:rPr>
              <w:t>Cloud monitoring</w:t>
            </w:r>
          </w:p>
        </w:tc>
        <w:tc>
          <w:tcPr>
            <w:tcW w:type="dxa" w:w="4032"/>
            <w:vAlign w:val="center"/>
          </w:tcPr>
          <w:p>
            <w:r/>
            <w:r>
              <w:rPr>
                <w:b w:val="0"/>
                <w:sz w:val="18"/>
              </w:rPr>
              <w:t>Rebuild/redeploy with Terraform</w:t>
            </w:r>
          </w:p>
        </w:tc>
      </w:tr>
      <w:tr>
        <w:tc>
          <w:tcPr>
            <w:tcW w:type="dxa" w:w="2880"/>
            <w:vAlign w:val="center"/>
          </w:tcPr>
          <w:p>
            <w:r/>
            <w:r>
              <w:rPr>
                <w:b w:val="0"/>
                <w:sz w:val="18"/>
              </w:rPr>
              <w:t>Guest VM failure</w:t>
            </w:r>
          </w:p>
        </w:tc>
        <w:tc>
          <w:tcPr>
            <w:tcW w:type="dxa" w:w="2880"/>
            <w:vAlign w:val="center"/>
          </w:tcPr>
          <w:p>
            <w:r/>
            <w:r>
              <w:rPr>
                <w:b w:val="0"/>
                <w:sz w:val="18"/>
              </w:rPr>
              <w:t>Proxmox/guest checks</w:t>
            </w:r>
          </w:p>
        </w:tc>
        <w:tc>
          <w:tcPr>
            <w:tcW w:type="dxa" w:w="4032"/>
            <w:vAlign w:val="center"/>
          </w:tcPr>
          <w:p>
            <w:r/>
            <w:r>
              <w:rPr>
                <w:b w:val="0"/>
                <w:sz w:val="18"/>
              </w:rPr>
              <w:t>Restore or redeploy using documented procedure</w:t>
            </w:r>
          </w:p>
        </w:tc>
      </w:tr>
      <w:tr>
        <w:tc>
          <w:tcPr>
            <w:tcW w:type="dxa" w:w="2880"/>
            <w:vAlign w:val="center"/>
          </w:tcPr>
          <w:p>
            <w:r/>
            <w:r>
              <w:rPr>
                <w:b w:val="0"/>
                <w:sz w:val="18"/>
              </w:rPr>
              <w:t>Firewall misconfiguration</w:t>
            </w:r>
          </w:p>
        </w:tc>
        <w:tc>
          <w:tcPr>
            <w:tcW w:type="dxa" w:w="2880"/>
            <w:vAlign w:val="center"/>
          </w:tcPr>
          <w:p>
            <w:r/>
            <w:r>
              <w:rPr>
                <w:b w:val="0"/>
                <w:sz w:val="18"/>
              </w:rPr>
              <w:t>Connectivity tests and logs</w:t>
            </w:r>
          </w:p>
        </w:tc>
        <w:tc>
          <w:tcPr>
            <w:tcW w:type="dxa" w:w="4032"/>
            <w:vAlign w:val="center"/>
          </w:tcPr>
          <w:p>
            <w:r/>
            <w:r>
              <w:rPr>
                <w:b w:val="0"/>
                <w:sz w:val="18"/>
              </w:rPr>
              <w:t>Restore a known-good OPNsense configuration</w:t>
            </w:r>
          </w:p>
        </w:tc>
      </w:tr>
    </w:tbl>
    <w:p/>
    <w:p>
      <w:pPr>
        <w:pStyle w:val="Heading1"/>
      </w:pPr>
      <w:r>
        <w:t>10. Zero Trust Principles</w:t>
      </w:r>
    </w:p>
    <w:p>
      <w:r>
        <w:t>The capstone demonstrates Zero Trust principles rather than claiming to implement a full enterprise Zero Trust platform. Network location alone does not provide unrestricted access. Every major traffic path is controlled by explicit rules and only the services required for the workload are permitted.</w:t>
      </w:r>
    </w:p>
    <w:p>
      <w:pPr>
        <w:pStyle w:val="ListBullet"/>
      </w:pPr>
      <w:r>
        <w:t>Least-privilege firewall rules between VLAN 94, Server, Client, DMZ, and AWS networks.</w:t>
      </w:r>
    </w:p>
    <w:p>
      <w:pPr>
        <w:pStyle w:val="ListBullet"/>
      </w:pPr>
      <w:r>
        <w:t>Centralized identity through Active Directory and role-based security groups.</w:t>
      </w:r>
    </w:p>
    <w:p>
      <w:pPr>
        <w:pStyle w:val="ListBullet"/>
      </w:pPr>
      <w:r>
        <w:t>Group Policy for selected Windows security and auditing settings.</w:t>
      </w:r>
    </w:p>
    <w:p>
      <w:pPr>
        <w:pStyle w:val="ListBullet"/>
      </w:pPr>
      <w:r>
        <w:t>Separation of management, server, client, and DMZ traffic.</w:t>
      </w:r>
    </w:p>
    <w:p>
      <w:pPr>
        <w:pStyle w:val="ListBullet"/>
      </w:pPr>
      <w:r>
        <w:t>Least-privilege IAM permissions in AWS.</w:t>
      </w:r>
    </w:p>
    <w:p>
      <w:pPr>
        <w:pStyle w:val="ListBullet"/>
      </w:pPr>
      <w:r>
        <w:t>Logging and monitoring of important security and infrastructure events.</w:t>
      </w:r>
    </w:p>
    <w:p>
      <w:pPr>
        <w:pStyle w:val="ListBullet"/>
      </w:pPr>
      <w:r>
        <w:t>Default-deny behavior where practical and explicit allow rules for required services.</w:t>
      </w:r>
    </w:p>
    <w:p>
      <w:pPr>
        <w:pStyle w:val="Heading1"/>
      </w:pPr>
      <w:r>
        <w:t>11. VM Placement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r/>
            <w:r>
              <w:rPr>
                <w:b/>
                <w:sz w:val="18"/>
              </w:rPr>
              <w:t>VM</w:t>
            </w:r>
          </w:p>
        </w:tc>
        <w:tc>
          <w:tcPr>
            <w:tcW w:type="dxa" w:w="2016"/>
            <w:vAlign w:val="center"/>
            <w:shd w:fill="D9EAF7"/>
          </w:tcPr>
          <w:p>
            <w:r/>
            <w:r>
              <w:rPr>
                <w:b/>
                <w:sz w:val="18"/>
              </w:rPr>
              <w:t>Preferred Host</w:t>
            </w:r>
          </w:p>
        </w:tc>
        <w:tc>
          <w:tcPr>
            <w:tcW w:type="dxa" w:w="2160"/>
            <w:vAlign w:val="center"/>
            <w:shd w:fill="D9EAF7"/>
          </w:tcPr>
          <w:p>
            <w:r/>
            <w:r>
              <w:rPr>
                <w:b/>
                <w:sz w:val="18"/>
              </w:rPr>
              <w:t>Network</w:t>
            </w:r>
          </w:p>
        </w:tc>
        <w:tc>
          <w:tcPr>
            <w:tcW w:type="dxa" w:w="4032"/>
            <w:vAlign w:val="center"/>
            <w:shd w:fill="D9EAF7"/>
          </w:tcPr>
          <w:p>
            <w:r/>
            <w:r>
              <w:rPr>
                <w:b/>
                <w:sz w:val="18"/>
              </w:rPr>
              <w:t>Purpose</w:t>
            </w:r>
          </w:p>
        </w:tc>
      </w:tr>
      <w:tr>
        <w:tc>
          <w:tcPr>
            <w:tcW w:type="dxa" w:w="2016"/>
            <w:vAlign w:val="center"/>
          </w:tcPr>
          <w:p>
            <w:r/>
            <w:r>
              <w:rPr>
                <w:b w:val="0"/>
                <w:sz w:val="18"/>
              </w:rPr>
              <w:t>OPNsense</w:t>
            </w:r>
          </w:p>
        </w:tc>
        <w:tc>
          <w:tcPr>
            <w:tcW w:type="dxa" w:w="2016"/>
            <w:vAlign w:val="center"/>
          </w:tcPr>
          <w:p>
            <w:r/>
            <w:r>
              <w:rPr>
                <w:b w:val="0"/>
                <w:sz w:val="18"/>
              </w:rPr>
              <w:t>HV1</w:t>
            </w:r>
          </w:p>
        </w:tc>
        <w:tc>
          <w:tcPr>
            <w:tcW w:type="dxa" w:w="2160"/>
            <w:vAlign w:val="center"/>
          </w:tcPr>
          <w:p>
            <w:r/>
            <w:r>
              <w:rPr>
                <w:b w:val="0"/>
                <w:sz w:val="18"/>
              </w:rPr>
              <w:t>WAN + all internal segments</w:t>
            </w:r>
          </w:p>
        </w:tc>
        <w:tc>
          <w:tcPr>
            <w:tcW w:type="dxa" w:w="4032"/>
            <w:vAlign w:val="center"/>
          </w:tcPr>
          <w:p>
            <w:r/>
            <w:r>
              <w:rPr>
                <w:b w:val="0"/>
                <w:sz w:val="18"/>
              </w:rPr>
              <w:t>Firewall, router, VPN</w:t>
            </w:r>
          </w:p>
        </w:tc>
      </w:tr>
      <w:tr>
        <w:tc>
          <w:tcPr>
            <w:tcW w:type="dxa" w:w="2016"/>
            <w:vAlign w:val="center"/>
          </w:tcPr>
          <w:p>
            <w:r/>
            <w:r>
              <w:rPr>
                <w:b w:val="0"/>
                <w:sz w:val="18"/>
              </w:rPr>
              <w:t>DC01</w:t>
            </w:r>
          </w:p>
        </w:tc>
        <w:tc>
          <w:tcPr>
            <w:tcW w:type="dxa" w:w="2016"/>
            <w:vAlign w:val="center"/>
          </w:tcPr>
          <w:p>
            <w:r/>
            <w:r>
              <w:rPr>
                <w:b w:val="0"/>
                <w:sz w:val="18"/>
              </w:rPr>
              <w:t>HV1</w:t>
            </w:r>
          </w:p>
        </w:tc>
        <w:tc>
          <w:tcPr>
            <w:tcW w:type="dxa" w:w="2160"/>
            <w:vAlign w:val="center"/>
          </w:tcPr>
          <w:p>
            <w:r/>
            <w:r>
              <w:rPr>
                <w:b w:val="0"/>
                <w:sz w:val="18"/>
              </w:rPr>
              <w:t>Server</w:t>
            </w:r>
          </w:p>
        </w:tc>
        <w:tc>
          <w:tcPr>
            <w:tcW w:type="dxa" w:w="4032"/>
            <w:vAlign w:val="center"/>
          </w:tcPr>
          <w:p>
            <w:r/>
            <w:r>
              <w:rPr>
                <w:b w:val="0"/>
                <w:sz w:val="18"/>
              </w:rPr>
              <w:t>AD DS + DNS</w:t>
            </w:r>
          </w:p>
        </w:tc>
      </w:tr>
      <w:tr>
        <w:tc>
          <w:tcPr>
            <w:tcW w:type="dxa" w:w="2016"/>
            <w:vAlign w:val="center"/>
          </w:tcPr>
          <w:p>
            <w:r/>
            <w:r>
              <w:rPr>
                <w:b w:val="0"/>
                <w:sz w:val="18"/>
              </w:rPr>
              <w:t>ANS01</w:t>
            </w:r>
          </w:p>
        </w:tc>
        <w:tc>
          <w:tcPr>
            <w:tcW w:type="dxa" w:w="2016"/>
            <w:vAlign w:val="center"/>
          </w:tcPr>
          <w:p>
            <w:r/>
            <w:r>
              <w:rPr>
                <w:b w:val="0"/>
                <w:sz w:val="18"/>
              </w:rPr>
              <w:t>HV1</w:t>
            </w:r>
          </w:p>
        </w:tc>
        <w:tc>
          <w:tcPr>
            <w:tcW w:type="dxa" w:w="2160"/>
            <w:vAlign w:val="center"/>
          </w:tcPr>
          <w:p>
            <w:r/>
            <w:r>
              <w:rPr>
                <w:b w:val="0"/>
                <w:sz w:val="18"/>
              </w:rPr>
              <w:t>Server</w:t>
            </w:r>
          </w:p>
        </w:tc>
        <w:tc>
          <w:tcPr>
            <w:tcW w:type="dxa" w:w="4032"/>
            <w:vAlign w:val="center"/>
          </w:tcPr>
          <w:p>
            <w:r/>
            <w:r>
              <w:rPr>
                <w:b w:val="0"/>
                <w:sz w:val="18"/>
              </w:rPr>
              <w:t>Automation</w:t>
            </w:r>
          </w:p>
        </w:tc>
      </w:tr>
      <w:tr>
        <w:tc>
          <w:tcPr>
            <w:tcW w:type="dxa" w:w="2016"/>
            <w:vAlign w:val="center"/>
          </w:tcPr>
          <w:p>
            <w:r/>
            <w:r>
              <w:rPr>
                <w:b w:val="0"/>
                <w:sz w:val="18"/>
              </w:rPr>
              <w:t>APP01</w:t>
            </w:r>
          </w:p>
        </w:tc>
        <w:tc>
          <w:tcPr>
            <w:tcW w:type="dxa" w:w="2016"/>
            <w:vAlign w:val="center"/>
          </w:tcPr>
          <w:p>
            <w:r/>
            <w:r>
              <w:rPr>
                <w:b w:val="0"/>
                <w:sz w:val="18"/>
              </w:rPr>
              <w:t>HV1</w:t>
            </w:r>
          </w:p>
        </w:tc>
        <w:tc>
          <w:tcPr>
            <w:tcW w:type="dxa" w:w="2160"/>
            <w:vAlign w:val="center"/>
          </w:tcPr>
          <w:p>
            <w:r/>
            <w:r>
              <w:rPr>
                <w:b w:val="0"/>
                <w:sz w:val="18"/>
              </w:rPr>
              <w:t>Server</w:t>
            </w:r>
          </w:p>
        </w:tc>
        <w:tc>
          <w:tcPr>
            <w:tcW w:type="dxa" w:w="4032"/>
            <w:vAlign w:val="center"/>
          </w:tcPr>
          <w:p>
            <w:r/>
            <w:r>
              <w:rPr>
                <w:b w:val="0"/>
                <w:sz w:val="18"/>
              </w:rPr>
              <w:t>Application workload</w:t>
            </w:r>
          </w:p>
        </w:tc>
      </w:tr>
      <w:tr>
        <w:tc>
          <w:tcPr>
            <w:tcW w:type="dxa" w:w="2016"/>
            <w:vAlign w:val="center"/>
          </w:tcPr>
          <w:p>
            <w:r/>
            <w:r>
              <w:rPr>
                <w:b w:val="0"/>
                <w:sz w:val="18"/>
              </w:rPr>
              <w:t>DB01</w:t>
            </w:r>
          </w:p>
        </w:tc>
        <w:tc>
          <w:tcPr>
            <w:tcW w:type="dxa" w:w="2016"/>
            <w:vAlign w:val="center"/>
          </w:tcPr>
          <w:p>
            <w:r/>
            <w:r>
              <w:rPr>
                <w:b w:val="0"/>
                <w:sz w:val="18"/>
              </w:rPr>
              <w:t>HV1</w:t>
            </w:r>
          </w:p>
        </w:tc>
        <w:tc>
          <w:tcPr>
            <w:tcW w:type="dxa" w:w="2160"/>
            <w:vAlign w:val="center"/>
          </w:tcPr>
          <w:p>
            <w:r/>
            <w:r>
              <w:rPr>
                <w:b w:val="0"/>
                <w:sz w:val="18"/>
              </w:rPr>
              <w:t>Server</w:t>
            </w:r>
          </w:p>
        </w:tc>
        <w:tc>
          <w:tcPr>
            <w:tcW w:type="dxa" w:w="4032"/>
            <w:vAlign w:val="center"/>
          </w:tcPr>
          <w:p>
            <w:r/>
            <w:r>
              <w:rPr>
                <w:b w:val="0"/>
                <w:sz w:val="18"/>
              </w:rPr>
              <w:t>Database workload</w:t>
            </w:r>
          </w:p>
        </w:tc>
      </w:tr>
      <w:tr>
        <w:tc>
          <w:tcPr>
            <w:tcW w:type="dxa" w:w="2016"/>
            <w:vAlign w:val="center"/>
          </w:tcPr>
          <w:p>
            <w:r/>
            <w:r>
              <w:rPr>
                <w:b w:val="0"/>
                <w:sz w:val="18"/>
              </w:rPr>
              <w:t>WIN01</w:t>
            </w:r>
          </w:p>
        </w:tc>
        <w:tc>
          <w:tcPr>
            <w:tcW w:type="dxa" w:w="2016"/>
            <w:vAlign w:val="center"/>
          </w:tcPr>
          <w:p>
            <w:r/>
            <w:r>
              <w:rPr>
                <w:b w:val="0"/>
                <w:sz w:val="18"/>
              </w:rPr>
              <w:t>HV1</w:t>
            </w:r>
          </w:p>
        </w:tc>
        <w:tc>
          <w:tcPr>
            <w:tcW w:type="dxa" w:w="2160"/>
            <w:vAlign w:val="center"/>
          </w:tcPr>
          <w:p>
            <w:r/>
            <w:r>
              <w:rPr>
                <w:b w:val="0"/>
                <w:sz w:val="18"/>
              </w:rPr>
              <w:t>Client</w:t>
            </w:r>
          </w:p>
        </w:tc>
        <w:tc>
          <w:tcPr>
            <w:tcW w:type="dxa" w:w="4032"/>
            <w:vAlign w:val="center"/>
          </w:tcPr>
          <w:p>
            <w:r/>
            <w:r>
              <w:rPr>
                <w:b w:val="0"/>
                <w:sz w:val="18"/>
              </w:rPr>
              <w:t>Domain-joined workstation</w:t>
            </w:r>
          </w:p>
        </w:tc>
      </w:tr>
      <w:tr>
        <w:tc>
          <w:tcPr>
            <w:tcW w:type="dxa" w:w="2016"/>
            <w:vAlign w:val="center"/>
          </w:tcPr>
          <w:p>
            <w:r/>
            <w:r>
              <w:rPr>
                <w:b w:val="0"/>
                <w:sz w:val="18"/>
              </w:rPr>
              <w:t>WEB01</w:t>
            </w:r>
          </w:p>
        </w:tc>
        <w:tc>
          <w:tcPr>
            <w:tcW w:type="dxa" w:w="2016"/>
            <w:vAlign w:val="center"/>
          </w:tcPr>
          <w:p>
            <w:r/>
            <w:r>
              <w:rPr>
                <w:b w:val="0"/>
                <w:sz w:val="18"/>
              </w:rPr>
              <w:t>HV1</w:t>
            </w:r>
          </w:p>
        </w:tc>
        <w:tc>
          <w:tcPr>
            <w:tcW w:type="dxa" w:w="2160"/>
            <w:vAlign w:val="center"/>
          </w:tcPr>
          <w:p>
            <w:r/>
            <w:r>
              <w:rPr>
                <w:b w:val="0"/>
                <w:sz w:val="18"/>
              </w:rPr>
              <w:t>DMZ</w:t>
            </w:r>
          </w:p>
        </w:tc>
        <w:tc>
          <w:tcPr>
            <w:tcW w:type="dxa" w:w="4032"/>
            <w:vAlign w:val="center"/>
          </w:tcPr>
          <w:p>
            <w:r/>
            <w:r>
              <w:rPr>
                <w:b w:val="0"/>
                <w:sz w:val="18"/>
              </w:rPr>
              <w:t>Web workload</w:t>
            </w:r>
          </w:p>
        </w:tc>
      </w:tr>
      <w:tr>
        <w:tc>
          <w:tcPr>
            <w:tcW w:type="dxa" w:w="2016"/>
            <w:vAlign w:val="center"/>
          </w:tcPr>
          <w:p>
            <w:r/>
            <w:r>
              <w:rPr>
                <w:b w:val="0"/>
                <w:sz w:val="18"/>
              </w:rPr>
              <w:t>Recovery/Test VMs</w:t>
            </w:r>
          </w:p>
        </w:tc>
        <w:tc>
          <w:tcPr>
            <w:tcW w:type="dxa" w:w="2016"/>
            <w:vAlign w:val="center"/>
          </w:tcPr>
          <w:p>
            <w:r/>
            <w:r>
              <w:rPr>
                <w:b w:val="0"/>
                <w:sz w:val="18"/>
              </w:rPr>
              <w:t>HV2</w:t>
            </w:r>
          </w:p>
        </w:tc>
        <w:tc>
          <w:tcPr>
            <w:tcW w:type="dxa" w:w="2160"/>
            <w:vAlign w:val="center"/>
          </w:tcPr>
          <w:p>
            <w:r/>
            <w:r>
              <w:rPr>
                <w:b w:val="0"/>
                <w:sz w:val="18"/>
              </w:rPr>
              <w:t>As needed</w:t>
            </w:r>
          </w:p>
        </w:tc>
        <w:tc>
          <w:tcPr>
            <w:tcW w:type="dxa" w:w="4032"/>
            <w:vAlign w:val="center"/>
          </w:tcPr>
          <w:p>
            <w:r/>
            <w:r>
              <w:rPr>
                <w:b w:val="0"/>
                <w:sz w:val="18"/>
              </w:rPr>
              <w:t>Recovery, migration, failure testing</w:t>
            </w:r>
          </w:p>
        </w:tc>
      </w:tr>
    </w:tbl>
    <w:p/>
    <w:p>
      <w:r>
        <w:t>HV1 is the primary workload host. HV2 provides a second physical hypervisor for migration, recovery, rebuild, and failure testing. This keeps the core design manageable while still using both assigned blades.</w:t>
      </w:r>
    </w:p>
    <w:p>
      <w:pPr>
        <w:pStyle w:val="Heading1"/>
      </w:pPr>
      <w:r>
        <w:t>12. Optional Public DNS and Certificate Enhancement</w:t>
      </w:r>
    </w:p>
    <w:p>
      <w:r>
        <w:t>Public DNS is an optional enhancement, not a core dependency. The capstone can operate with local/internal DNS for Proxmox and Active Directory. If time permits, the hybridlab.shop public zone can be hosted by a DNS provider such as deSEC.</w:t>
      </w:r>
    </w:p>
    <w:p>
      <w:r>
        <w:t>Possible optional uses include:</w:t>
      </w:r>
    </w:p>
    <w:p>
      <w:pPr>
        <w:pStyle w:val="ListBullet"/>
      </w:pPr>
      <w:r>
        <w:t>Hosting selected public DNS records for hybridlab.shop.</w:t>
      </w:r>
    </w:p>
    <w:p>
      <w:pPr>
        <w:pStyle w:val="ListBullet"/>
      </w:pPr>
      <w:r>
        <w:t>Using DNS-01 validation to request trusted TLS certificates without exposing internal management services directly to the Internet.</w:t>
      </w:r>
    </w:p>
    <w:p>
      <w:pPr>
        <w:pStyle w:val="ListBullet"/>
      </w:pPr>
      <w:r>
        <w:t>Automating DNS changes through an API as an additional Infrastructure as Code demonstration.</w:t>
      </w:r>
    </w:p>
    <w:p>
      <w:pPr>
        <w:pStyle w:val="ListBullet"/>
      </w:pPr>
      <w:r>
        <w:t>Demonstrating the difference between public DNS and internal Active Directory DNS.</w:t>
      </w:r>
    </w:p>
    <w:p>
      <w:r>
        <w:t>This enhancement should be completed only after the core Proxmox, OPNsense, Active Directory, AWS, automation, monitoring, and recovery objectives are working.</w:t>
      </w:r>
    </w:p>
    <w:p>
      <w:pPr>
        <w:pStyle w:val="Heading1"/>
      </w:pPr>
      <w:r>
        <w:t>13. Major Traffic Flows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Flow</w:t>
            </w:r>
          </w:p>
        </w:tc>
        <w:tc>
          <w:tcPr>
            <w:tcW w:type="dxa" w:w="4608"/>
            <w:vAlign w:val="center"/>
            <w:shd w:fill="D9EAF7"/>
          </w:tcPr>
          <w:p>
            <w:r/>
            <w:r>
              <w:rPr>
                <w:b/>
                <w:sz w:val="18"/>
              </w:rPr>
              <w:t>Path</w:t>
            </w:r>
          </w:p>
        </w:tc>
        <w:tc>
          <w:tcPr>
            <w:tcW w:type="dxa" w:w="3312"/>
            <w:vAlign w:val="center"/>
            <w:shd w:fill="D9EAF7"/>
          </w:tcPr>
          <w:p>
            <w:r/>
            <w:r>
              <w:rPr>
                <w:b/>
                <w:sz w:val="18"/>
              </w:rPr>
              <w:t>Control</w:t>
            </w:r>
          </w:p>
        </w:tc>
      </w:tr>
      <w:tr>
        <w:tc>
          <w:tcPr>
            <w:tcW w:type="dxa" w:w="2304"/>
            <w:vAlign w:val="center"/>
          </w:tcPr>
          <w:p>
            <w:r/>
            <w:r>
              <w:rPr>
                <w:b w:val="0"/>
                <w:sz w:val="18"/>
              </w:rPr>
              <w:t>Administrator to Proxmox</w:t>
            </w:r>
          </w:p>
        </w:tc>
        <w:tc>
          <w:tcPr>
            <w:tcW w:type="dxa" w:w="4608"/>
            <w:vAlign w:val="center"/>
          </w:tcPr>
          <w:p>
            <w:r/>
            <w:r>
              <w:rPr>
                <w:b w:val="0"/>
                <w:sz w:val="18"/>
              </w:rPr>
              <w:t>School network -&gt; VLAN 94 -&gt; pve01/pve02</w:t>
            </w:r>
          </w:p>
        </w:tc>
        <w:tc>
          <w:tcPr>
            <w:tcW w:type="dxa" w:w="3312"/>
            <w:vAlign w:val="center"/>
          </w:tcPr>
          <w:p>
            <w:r/>
            <w:r>
              <w:rPr>
                <w:b w:val="0"/>
                <w:sz w:val="18"/>
              </w:rPr>
              <w:t>Approved management access</w:t>
            </w:r>
          </w:p>
        </w:tc>
      </w:tr>
      <w:tr>
        <w:tc>
          <w:tcPr>
            <w:tcW w:type="dxa" w:w="2304"/>
            <w:vAlign w:val="center"/>
          </w:tcPr>
          <w:p>
            <w:r/>
            <w:r>
              <w:rPr>
                <w:b w:val="0"/>
                <w:sz w:val="18"/>
              </w:rPr>
              <w:t>Client to AD/DNS</w:t>
            </w:r>
          </w:p>
        </w:tc>
        <w:tc>
          <w:tcPr>
            <w:tcW w:type="dxa" w:w="4608"/>
            <w:vAlign w:val="center"/>
          </w:tcPr>
          <w:p>
            <w:r/>
            <w:r>
              <w:rPr>
                <w:b w:val="0"/>
                <w:sz w:val="18"/>
              </w:rPr>
              <w:t>WIN01 -&gt; OPNsense -&gt; DC01</w:t>
            </w:r>
          </w:p>
        </w:tc>
        <w:tc>
          <w:tcPr>
            <w:tcW w:type="dxa" w:w="3312"/>
            <w:vAlign w:val="center"/>
          </w:tcPr>
          <w:p>
            <w:r/>
            <w:r>
              <w:rPr>
                <w:b w:val="0"/>
                <w:sz w:val="18"/>
              </w:rPr>
              <w:t>Required AD/DNS ports only</w:t>
            </w:r>
          </w:p>
        </w:tc>
      </w:tr>
      <w:tr>
        <w:tc>
          <w:tcPr>
            <w:tcW w:type="dxa" w:w="2304"/>
            <w:vAlign w:val="center"/>
          </w:tcPr>
          <w:p>
            <w:r/>
            <w:r>
              <w:rPr>
                <w:b w:val="0"/>
                <w:sz w:val="18"/>
              </w:rPr>
              <w:t>Client to application</w:t>
            </w:r>
          </w:p>
        </w:tc>
        <w:tc>
          <w:tcPr>
            <w:tcW w:type="dxa" w:w="4608"/>
            <w:vAlign w:val="center"/>
          </w:tcPr>
          <w:p>
            <w:r/>
            <w:r>
              <w:rPr>
                <w:b w:val="0"/>
                <w:sz w:val="18"/>
              </w:rPr>
              <w:t>WIN01 -&gt; OPNsense -&gt; APP01/WEB01</w:t>
            </w:r>
          </w:p>
        </w:tc>
        <w:tc>
          <w:tcPr>
            <w:tcW w:type="dxa" w:w="3312"/>
            <w:vAlign w:val="center"/>
          </w:tcPr>
          <w:p>
            <w:r/>
            <w:r>
              <w:rPr>
                <w:b w:val="0"/>
                <w:sz w:val="18"/>
              </w:rPr>
              <w:t>Application-specific rules</w:t>
            </w:r>
          </w:p>
        </w:tc>
      </w:tr>
      <w:tr>
        <w:tc>
          <w:tcPr>
            <w:tcW w:type="dxa" w:w="2304"/>
            <w:vAlign w:val="center"/>
          </w:tcPr>
          <w:p>
            <w:r/>
            <w:r>
              <w:rPr>
                <w:b w:val="0"/>
                <w:sz w:val="18"/>
              </w:rPr>
              <w:t>DMZ web to database</w:t>
            </w:r>
          </w:p>
        </w:tc>
        <w:tc>
          <w:tcPr>
            <w:tcW w:type="dxa" w:w="4608"/>
            <w:vAlign w:val="center"/>
          </w:tcPr>
          <w:p>
            <w:r/>
            <w:r>
              <w:rPr>
                <w:b w:val="0"/>
                <w:sz w:val="18"/>
              </w:rPr>
              <w:t>WEB01 -&gt; OPNsense -&gt; DB01</w:t>
            </w:r>
          </w:p>
        </w:tc>
        <w:tc>
          <w:tcPr>
            <w:tcW w:type="dxa" w:w="3312"/>
            <w:vAlign w:val="center"/>
          </w:tcPr>
          <w:p>
            <w:r/>
            <w:r>
              <w:rPr>
                <w:b w:val="0"/>
                <w:sz w:val="18"/>
              </w:rPr>
              <w:t>Required DB port only</w:t>
            </w:r>
          </w:p>
        </w:tc>
      </w:tr>
      <w:tr>
        <w:tc>
          <w:tcPr>
            <w:tcW w:type="dxa" w:w="2304"/>
            <w:vAlign w:val="center"/>
          </w:tcPr>
          <w:p>
            <w:r/>
            <w:r>
              <w:rPr>
                <w:b w:val="0"/>
                <w:sz w:val="18"/>
              </w:rPr>
              <w:t>On-prem to AWS</w:t>
            </w:r>
          </w:p>
        </w:tc>
        <w:tc>
          <w:tcPr>
            <w:tcW w:type="dxa" w:w="4608"/>
            <w:vAlign w:val="center"/>
          </w:tcPr>
          <w:p>
            <w:r/>
            <w:r>
              <w:rPr>
                <w:b w:val="0"/>
                <w:sz w:val="18"/>
              </w:rPr>
              <w:t>Internal network -&gt; OPNsense -&gt; VPN -&gt; AWS VPC</w:t>
            </w:r>
          </w:p>
        </w:tc>
        <w:tc>
          <w:tcPr>
            <w:tcW w:type="dxa" w:w="3312"/>
            <w:vAlign w:val="center"/>
          </w:tcPr>
          <w:p>
            <w:r/>
            <w:r>
              <w:rPr>
                <w:b w:val="0"/>
                <w:sz w:val="18"/>
              </w:rPr>
              <w:t>VPN + OPNsense + Security Groups</w:t>
            </w:r>
          </w:p>
        </w:tc>
      </w:tr>
      <w:tr>
        <w:tc>
          <w:tcPr>
            <w:tcW w:type="dxa" w:w="2304"/>
            <w:vAlign w:val="center"/>
          </w:tcPr>
          <w:p>
            <w:r/>
            <w:r>
              <w:rPr>
                <w:b w:val="0"/>
                <w:sz w:val="18"/>
              </w:rPr>
              <w:t>AWS to on-prem</w:t>
            </w:r>
          </w:p>
        </w:tc>
        <w:tc>
          <w:tcPr>
            <w:tcW w:type="dxa" w:w="4608"/>
            <w:vAlign w:val="center"/>
          </w:tcPr>
          <w:p>
            <w:r/>
            <w:r>
              <w:rPr>
                <w:b w:val="0"/>
                <w:sz w:val="18"/>
              </w:rPr>
              <w:t>AWS VPC -&gt; VPN -&gt; OPNsense -&gt; approved host</w:t>
            </w:r>
          </w:p>
        </w:tc>
        <w:tc>
          <w:tcPr>
            <w:tcW w:type="dxa" w:w="3312"/>
            <w:vAlign w:val="center"/>
          </w:tcPr>
          <w:p>
            <w:r/>
            <w:r>
              <w:rPr>
                <w:b w:val="0"/>
                <w:sz w:val="18"/>
              </w:rPr>
              <w:t>Explicit route and firewall policy</w:t>
            </w:r>
          </w:p>
        </w:tc>
      </w:tr>
    </w:tbl>
    <w:p/>
    <w:p>
      <w:pPr>
        <w:pStyle w:val="Heading1"/>
      </w:pPr>
      <w:r>
        <w:t>14. Implementation Sequence</w:t>
      </w:r>
    </w:p>
    <w:p>
      <w:r>
        <w:rPr>
          <w:b/>
        </w:rPr>
        <w:t xml:space="preserve">Week 1: </w:t>
      </w:r>
      <w:r>
        <w:t>Confirm both Proxmox blades, VLAN 94 configuration, final hostnames, IP plan, architecture, repository, and AWS design.</w:t>
      </w:r>
    </w:p>
    <w:p>
      <w:r>
        <w:rPr>
          <w:b/>
        </w:rPr>
        <w:t xml:space="preserve">Week 2: </w:t>
      </w:r>
      <w:r>
        <w:t>Build OPNsense and the Server, Client, and DMZ virtual networks. Verify routing and isolation.</w:t>
      </w:r>
    </w:p>
    <w:p>
      <w:r>
        <w:rPr>
          <w:b/>
        </w:rPr>
        <w:t xml:space="preserve">Week 3: </w:t>
      </w:r>
      <w:r>
        <w:t>Deploy DC01, create ad.hybridlab.shop, configure DNS, create the AD structure, and implement initial GPOs.</w:t>
      </w:r>
    </w:p>
    <w:p>
      <w:r>
        <w:rPr>
          <w:b/>
        </w:rPr>
        <w:t xml:space="preserve">Week 4: </w:t>
      </w:r>
      <w:r>
        <w:t>Deploy Linux/Windows workloads, join required Windows systems to the domain, and validate application traffic.</w:t>
      </w:r>
    </w:p>
    <w:p>
      <w:r>
        <w:rPr>
          <w:b/>
        </w:rPr>
        <w:t xml:space="preserve">Week 5: </w:t>
      </w:r>
      <w:r>
        <w:t>Create AWS VPC, subnets, security groups, IAM, and EC2 resources with Terraform.</w:t>
      </w:r>
    </w:p>
    <w:p>
      <w:r>
        <w:rPr>
          <w:b/>
        </w:rPr>
        <w:t xml:space="preserve">Week 6: </w:t>
      </w:r>
      <w:r>
        <w:t>Establish the hybrid VPN and validate approved on-premises-to-AWS traffic.</w:t>
      </w:r>
    </w:p>
    <w:p>
      <w:r>
        <w:rPr>
          <w:b/>
        </w:rPr>
        <w:t xml:space="preserve">Week 7: </w:t>
      </w:r>
      <w:r>
        <w:t>Implement Ansible and PowerShell automation and version the configuration in Git/GitHub.</w:t>
      </w:r>
    </w:p>
    <w:p>
      <w:r>
        <w:rPr>
          <w:b/>
        </w:rPr>
        <w:t xml:space="preserve">Week 8: </w:t>
      </w:r>
      <w:r>
        <w:t>Add monitoring/logging and implement selected automated recovery workflows.</w:t>
      </w:r>
    </w:p>
    <w:p>
      <w:r>
        <w:rPr>
          <w:b/>
        </w:rPr>
        <w:t xml:space="preserve">Week 9: </w:t>
      </w:r>
      <w:r>
        <w:t>Perform firewall, failure, configuration-drift, recovery, and rebuild testing. Add optional DNS/TLS work only if core tasks are complete.</w:t>
      </w:r>
    </w:p>
    <w:p>
      <w:r>
        <w:rPr>
          <w:b/>
        </w:rPr>
        <w:t xml:space="preserve">Week 10: </w:t>
      </w:r>
      <w:r>
        <w:t>Finalize diagrams, as-built documentation, evidence, presentation, and final demonstration.</w:t>
      </w:r>
    </w:p>
    <w:p>
      <w:pPr>
        <w:pStyle w:val="Heading1"/>
      </w:pPr>
      <w:r>
        <w:t>15. Final Deliverables</w:t>
      </w:r>
    </w:p>
    <w:p>
      <w:pPr>
        <w:pStyle w:val="ListBullet"/>
      </w:pPr>
      <w:r>
        <w:t>Physical and logical architecture diagrams.</w:t>
      </w:r>
    </w:p>
    <w:p>
      <w:pPr>
        <w:pStyle w:val="ListBullet"/>
      </w:pPr>
      <w:r>
        <w:t>Final hostname and IP addressing plan using VLAN 94 and hybridlab.shop.</w:t>
      </w:r>
    </w:p>
    <w:p>
      <w:pPr>
        <w:pStyle w:val="ListBullet"/>
      </w:pPr>
      <w:r>
        <w:t>Proxmox VM, storage, and network configuration documentation.</w:t>
      </w:r>
    </w:p>
    <w:p>
      <w:pPr>
        <w:pStyle w:val="ListBullet"/>
      </w:pPr>
      <w:r>
        <w:t>OPNsense firewall and segmentation rule matrix.</w:t>
      </w:r>
    </w:p>
    <w:p>
      <w:pPr>
        <w:pStyle w:val="ListBullet"/>
      </w:pPr>
      <w:r>
        <w:t>Active Directory, DNS, OU, group, and GPO documentation.</w:t>
      </w:r>
    </w:p>
    <w:p>
      <w:pPr>
        <w:pStyle w:val="ListBullet"/>
      </w:pPr>
      <w:r>
        <w:t>Terraform AWS infrastructure code.</w:t>
      </w:r>
    </w:p>
    <w:p>
      <w:pPr>
        <w:pStyle w:val="ListBullet"/>
      </w:pPr>
      <w:r>
        <w:t>Ansible playbooks and PowerShell automation scripts.</w:t>
      </w:r>
    </w:p>
    <w:p>
      <w:pPr>
        <w:pStyle w:val="ListBullet"/>
      </w:pPr>
      <w:r>
        <w:t>Hybrid VPN design and connectivity test results.</w:t>
      </w:r>
    </w:p>
    <w:p>
      <w:pPr>
        <w:pStyle w:val="ListBullet"/>
      </w:pPr>
      <w:r>
        <w:t>AWS IAM, Security Group, CloudWatch, and CloudTrail documentation.</w:t>
      </w:r>
    </w:p>
    <w:p>
      <w:pPr>
        <w:pStyle w:val="ListBullet"/>
      </w:pPr>
      <w:r>
        <w:t>Monitoring and logging evidence.</w:t>
      </w:r>
    </w:p>
    <w:p>
      <w:pPr>
        <w:pStyle w:val="ListBullet"/>
      </w:pPr>
      <w:r>
        <w:t>Failure and recovery testing evidence.</w:t>
      </w:r>
    </w:p>
    <w:p>
      <w:pPr>
        <w:pStyle w:val="ListBullet"/>
      </w:pPr>
      <w:r>
        <w:t>Zero Trust access-control test matrix.</w:t>
      </w:r>
    </w:p>
    <w:p>
      <w:pPr>
        <w:pStyle w:val="ListBullet"/>
      </w:pPr>
      <w:r>
        <w:t>Optional public DNS/TLS automation documentation if implemented.</w:t>
      </w:r>
    </w:p>
    <w:p>
      <w:pPr>
        <w:pStyle w:val="ListBullet"/>
      </w:pPr>
      <w:r>
        <w:t>Final as-built architecture document and presentation.</w:t>
      </w:r>
    </w:p>
    <w:p>
      <w:pPr>
        <w:pStyle w:val="Heading1"/>
      </w:pPr>
      <w:r>
        <w:t>16. Scope and Risk Controls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Risk</w:t>
            </w:r>
          </w:p>
        </w:tc>
        <w:tc>
          <w:tcPr>
            <w:tcW w:type="dxa" w:w="2160"/>
            <w:vAlign w:val="center"/>
            <w:shd w:fill="D9EAF7"/>
          </w:tcPr>
          <w:p>
            <w:r/>
            <w:r>
              <w:rPr>
                <w:b/>
                <w:sz w:val="18"/>
              </w:rPr>
              <w:t>Impact</w:t>
            </w:r>
          </w:p>
        </w:tc>
        <w:tc>
          <w:tcPr>
            <w:tcW w:type="dxa" w:w="5328"/>
            <w:vAlign w:val="center"/>
            <w:shd w:fill="D9EAF7"/>
          </w:tcPr>
          <w:p>
            <w:r/>
            <w:r>
              <w:rPr>
                <w:b/>
                <w:sz w:val="18"/>
              </w:rPr>
              <w:t>Control</w:t>
            </w:r>
          </w:p>
        </w:tc>
      </w:tr>
      <w:tr>
        <w:tc>
          <w:tcPr>
            <w:tcW w:type="dxa" w:w="2592"/>
            <w:vAlign w:val="center"/>
          </w:tcPr>
          <w:p>
            <w:r/>
            <w:r>
              <w:rPr>
                <w:b w:val="0"/>
                <w:sz w:val="18"/>
              </w:rPr>
              <w:t>AWS credit usage</w:t>
            </w:r>
          </w:p>
        </w:tc>
        <w:tc>
          <w:tcPr>
            <w:tcW w:type="dxa" w:w="2160"/>
            <w:vAlign w:val="center"/>
          </w:tcPr>
          <w:p>
            <w:r/>
            <w:r>
              <w:rPr>
                <w:b w:val="0"/>
                <w:sz w:val="18"/>
              </w:rPr>
              <w:t>Medium/High</w:t>
            </w:r>
          </w:p>
        </w:tc>
        <w:tc>
          <w:tcPr>
            <w:tcW w:type="dxa" w:w="5328"/>
            <w:vAlign w:val="center"/>
          </w:tcPr>
          <w:p>
            <w:r/>
            <w:r>
              <w:rPr>
                <w:b w:val="0"/>
                <w:sz w:val="18"/>
              </w:rPr>
              <w:t>Use small instances, destroy resources when not testing, and monitor billing.</w:t>
            </w:r>
          </w:p>
        </w:tc>
      </w:tr>
      <w:tr>
        <w:tc>
          <w:tcPr>
            <w:tcW w:type="dxa" w:w="2592"/>
            <w:vAlign w:val="center"/>
          </w:tcPr>
          <w:p>
            <w:r/>
            <w:r>
              <w:rPr>
                <w:b w:val="0"/>
                <w:sz w:val="18"/>
              </w:rPr>
              <w:t>School network restrictions</w:t>
            </w:r>
          </w:p>
        </w:tc>
        <w:tc>
          <w:tcPr>
            <w:tcW w:type="dxa" w:w="2160"/>
            <w:vAlign w:val="center"/>
          </w:tcPr>
          <w:p>
            <w:r/>
            <w:r>
              <w:rPr>
                <w:b w:val="0"/>
                <w:sz w:val="18"/>
              </w:rPr>
              <w:t>High</w:t>
            </w:r>
          </w:p>
        </w:tc>
        <w:tc>
          <w:tcPr>
            <w:tcW w:type="dxa" w:w="5328"/>
            <w:vAlign w:val="center"/>
          </w:tcPr>
          <w:p>
            <w:r/>
            <w:r>
              <w:rPr>
                <w:b w:val="0"/>
                <w:sz w:val="18"/>
              </w:rPr>
              <w:t>Keep management on VLAN 94 and avoid dependencies on unapproved switch/firewall changes.</w:t>
            </w:r>
          </w:p>
        </w:tc>
      </w:tr>
      <w:tr>
        <w:tc>
          <w:tcPr>
            <w:tcW w:type="dxa" w:w="2592"/>
            <w:vAlign w:val="center"/>
          </w:tcPr>
          <w:p>
            <w:r/>
            <w:r>
              <w:rPr>
                <w:b w:val="0"/>
                <w:sz w:val="18"/>
              </w:rPr>
              <w:t>VPN/NAT limitations</w:t>
            </w:r>
          </w:p>
        </w:tc>
        <w:tc>
          <w:tcPr>
            <w:tcW w:type="dxa" w:w="2160"/>
            <w:vAlign w:val="center"/>
          </w:tcPr>
          <w:p>
            <w:r/>
            <w:r>
              <w:rPr>
                <w:b w:val="0"/>
                <w:sz w:val="18"/>
              </w:rPr>
              <w:t>Medium/High</w:t>
            </w:r>
          </w:p>
        </w:tc>
        <w:tc>
          <w:tcPr>
            <w:tcW w:type="dxa" w:w="5328"/>
            <w:vAlign w:val="center"/>
          </w:tcPr>
          <w:p>
            <w:r/>
            <w:r>
              <w:rPr>
                <w:b w:val="0"/>
                <w:sz w:val="18"/>
              </w:rPr>
              <w:t>Use a NAT-friendly design if necessary and document external dependencies.</w:t>
            </w:r>
          </w:p>
        </w:tc>
      </w:tr>
      <w:tr>
        <w:tc>
          <w:tcPr>
            <w:tcW w:type="dxa" w:w="2592"/>
            <w:vAlign w:val="center"/>
          </w:tcPr>
          <w:p>
            <w:r/>
            <w:r>
              <w:rPr>
                <w:b w:val="0"/>
                <w:sz w:val="18"/>
              </w:rPr>
              <w:t>Two-host networking complexity</w:t>
            </w:r>
          </w:p>
        </w:tc>
        <w:tc>
          <w:tcPr>
            <w:tcW w:type="dxa" w:w="2160"/>
            <w:vAlign w:val="center"/>
          </w:tcPr>
          <w:p>
            <w:r/>
            <w:r>
              <w:rPr>
                <w:b w:val="0"/>
                <w:sz w:val="18"/>
              </w:rPr>
              <w:t>Medium</w:t>
            </w:r>
          </w:p>
        </w:tc>
        <w:tc>
          <w:tcPr>
            <w:tcW w:type="dxa" w:w="5328"/>
            <w:vAlign w:val="center"/>
          </w:tcPr>
          <w:p>
            <w:r/>
            <w:r>
              <w:rPr>
                <w:b w:val="0"/>
                <w:sz w:val="18"/>
              </w:rPr>
              <w:t>Keep advanced multi-host internal networking optional.</w:t>
            </w:r>
          </w:p>
        </w:tc>
      </w:tr>
      <w:tr>
        <w:tc>
          <w:tcPr>
            <w:tcW w:type="dxa" w:w="2592"/>
            <w:vAlign w:val="center"/>
          </w:tcPr>
          <w:p>
            <w:r/>
            <w:r>
              <w:rPr>
                <w:b w:val="0"/>
                <w:sz w:val="18"/>
              </w:rPr>
              <w:t>DNS/certificate scope creep</w:t>
            </w:r>
          </w:p>
        </w:tc>
        <w:tc>
          <w:tcPr>
            <w:tcW w:type="dxa" w:w="2160"/>
            <w:vAlign w:val="center"/>
          </w:tcPr>
          <w:p>
            <w:r/>
            <w:r>
              <w:rPr>
                <w:b w:val="0"/>
                <w:sz w:val="18"/>
              </w:rPr>
              <w:t>Low/Medium</w:t>
            </w:r>
          </w:p>
        </w:tc>
        <w:tc>
          <w:tcPr>
            <w:tcW w:type="dxa" w:w="5328"/>
            <w:vAlign w:val="center"/>
          </w:tcPr>
          <w:p>
            <w:r/>
            <w:r>
              <w:rPr>
                <w:b w:val="0"/>
                <w:sz w:val="18"/>
              </w:rPr>
              <w:t>Treat deSEC/public DNS/ACME as an optional enhancement only.</w:t>
            </w:r>
          </w:p>
        </w:tc>
      </w:tr>
      <w:tr>
        <w:tc>
          <w:tcPr>
            <w:tcW w:type="dxa" w:w="2592"/>
            <w:vAlign w:val="center"/>
          </w:tcPr>
          <w:p>
            <w:r/>
            <w:r>
              <w:rPr>
                <w:b w:val="0"/>
                <w:sz w:val="18"/>
              </w:rPr>
              <w:t>Overly broad Zero Trust scope</w:t>
            </w:r>
          </w:p>
        </w:tc>
        <w:tc>
          <w:tcPr>
            <w:tcW w:type="dxa" w:w="2160"/>
            <w:vAlign w:val="center"/>
          </w:tcPr>
          <w:p>
            <w:r/>
            <w:r>
              <w:rPr>
                <w:b w:val="0"/>
                <w:sz w:val="18"/>
              </w:rPr>
              <w:t>Medium</w:t>
            </w:r>
          </w:p>
        </w:tc>
        <w:tc>
          <w:tcPr>
            <w:tcW w:type="dxa" w:w="5328"/>
            <w:vAlign w:val="center"/>
          </w:tcPr>
          <w:p>
            <w:r/>
            <w:r>
              <w:rPr>
                <w:b w:val="0"/>
                <w:sz w:val="18"/>
              </w:rPr>
              <w:t>Demonstrate segmentation and least privilege rather than a full commercial Zero Trust platform.</w:t>
            </w:r>
          </w:p>
        </w:tc>
      </w:tr>
      <w:tr>
        <w:tc>
          <w:tcPr>
            <w:tcW w:type="dxa" w:w="2592"/>
            <w:vAlign w:val="center"/>
          </w:tcPr>
          <w:p>
            <w:r/>
            <w:r>
              <w:rPr>
                <w:b w:val="0"/>
                <w:sz w:val="18"/>
              </w:rPr>
              <w:t>Time limits</w:t>
            </w:r>
          </w:p>
        </w:tc>
        <w:tc>
          <w:tcPr>
            <w:tcW w:type="dxa" w:w="2160"/>
            <w:vAlign w:val="center"/>
          </w:tcPr>
          <w:p>
            <w:r/>
            <w:r>
              <w:rPr>
                <w:b w:val="0"/>
                <w:sz w:val="18"/>
              </w:rPr>
              <w:t>High</w:t>
            </w:r>
          </w:p>
        </w:tc>
        <w:tc>
          <w:tcPr>
            <w:tcW w:type="dxa" w:w="5328"/>
            <w:vAlign w:val="center"/>
          </w:tcPr>
          <w:p>
            <w:r/>
            <w:r>
              <w:rPr>
                <w:b w:val="0"/>
                <w:sz w:val="18"/>
              </w:rPr>
              <w:t>Complete core infrastructure first; advanced SIEM, HA, and public DNS work are stretch goals.</w:t>
            </w:r>
          </w:p>
        </w:tc>
      </w:tr>
    </w:tbl>
    <w:p/>
    <w:p>
      <w:pPr>
        <w:pStyle w:val="Heading1"/>
      </w:pPr>
      <w:r>
        <w:t>17. Success Criteria</w:t>
      </w:r>
    </w:p>
    <w:p>
      <w:pPr>
        <w:pStyle w:val="ListBullet"/>
      </w:pPr>
      <w:r>
        <w:t>Both Proxmox blades are reachable on VLAN 94 using their final management FQDNs.</w:t>
      </w:r>
    </w:p>
    <w:p>
      <w:pPr>
        <w:pStyle w:val="ListBullet"/>
      </w:pPr>
      <w:r>
        <w:t>OPNsense separates the school network from the private Server, Client, and DMZ networks.</w:t>
      </w:r>
    </w:p>
    <w:p>
      <w:pPr>
        <w:pStyle w:val="ListBullet"/>
      </w:pPr>
      <w:r>
        <w:t>Windows systems authenticate against ad.hybridlab.shop and use internal DNS correctly.</w:t>
      </w:r>
    </w:p>
    <w:p>
      <w:pPr>
        <w:pStyle w:val="ListBullet"/>
      </w:pPr>
      <w:r>
        <w:t>Firewall rules allow only the traffic required for the documented workloads.</w:t>
      </w:r>
    </w:p>
    <w:p>
      <w:pPr>
        <w:pStyle w:val="ListBullet"/>
      </w:pPr>
      <w:r>
        <w:t>AWS infrastructure can be deployed and changed through Terraform.</w:t>
      </w:r>
    </w:p>
    <w:p>
      <w:pPr>
        <w:pStyle w:val="ListBullet"/>
      </w:pPr>
      <w:r>
        <w:t>Server configuration can be applied repeatedly with Ansible and/or PowerShell.</w:t>
      </w:r>
    </w:p>
    <w:p>
      <w:pPr>
        <w:pStyle w:val="ListBullet"/>
      </w:pPr>
      <w:r>
        <w:t>Approved on-premises and AWS workloads can communicate through the encrypted hybrid connection.</w:t>
      </w:r>
    </w:p>
    <w:p>
      <w:pPr>
        <w:pStyle w:val="ListBullet"/>
      </w:pPr>
      <w:r>
        <w:t>Monitoring and logs provide evidence of important infrastructure and security events.</w:t>
      </w:r>
    </w:p>
    <w:p>
      <w:pPr>
        <w:pStyle w:val="ListBullet"/>
      </w:pPr>
      <w:r>
        <w:t>At least two realistic failure/recovery scenarios are demonstrated.</w:t>
      </w:r>
    </w:p>
    <w:p>
      <w:pPr>
        <w:pStyle w:val="ListBullet"/>
      </w:pPr>
      <w:r>
        <w:t>The environment can be explained and substantially rebuilt from the documentation and automation code.</w:t>
      </w:r>
    </w:p>
    <w:p>
      <w:pPr>
        <w:pStyle w:val="Heading1"/>
      </w:pPr>
      <w:r>
        <w:t>18. Architecture Assumptions</w:t>
      </w:r>
    </w:p>
    <w:p>
      <w:pPr>
        <w:pStyle w:val="ListBullet"/>
      </w:pPr>
      <w:r>
        <w:t>The two assigned Dell blades remain available throughout the capstone.</w:t>
      </w:r>
    </w:p>
    <w:p>
      <w:pPr>
        <w:pStyle w:val="ListBullet"/>
      </w:pPr>
      <w:r>
        <w:t>VLAN 94 is the assigned student VLAN and 10.0.94.1 is its gateway according to the class addressing model.</w:t>
      </w:r>
    </w:p>
    <w:p>
      <w:pPr>
        <w:pStyle w:val="ListBullet"/>
      </w:pPr>
      <w:r>
        <w:t>The exact Proxmox and OPNsense school-side IP addresses will follow the current assignment spreadsheet.</w:t>
      </w:r>
    </w:p>
    <w:p>
      <w:pPr>
        <w:pStyle w:val="ListBullet"/>
      </w:pPr>
      <w:r>
        <w:t>iDRAC/CMC remains on the school-managed out-of-band network.</w:t>
      </w:r>
    </w:p>
    <w:p>
      <w:pPr>
        <w:pStyle w:val="ListBullet"/>
      </w:pPr>
      <w:r>
        <w:t>The 172.20.0.0/16 internal range does not overlap with school networks used by the project.</w:t>
      </w:r>
    </w:p>
    <w:p>
      <w:pPr>
        <w:pStyle w:val="ListBullet"/>
      </w:pPr>
      <w:r>
        <w:t>hybridlab.shop is owned and controlled by the student for naming and optional public DNS work.</w:t>
      </w:r>
    </w:p>
    <w:p>
      <w:pPr>
        <w:pStyle w:val="ListBullet"/>
      </w:pPr>
      <w:r>
        <w:t>AWS use remains within available student credits as much as practical.</w:t>
      </w:r>
    </w:p>
    <w:p>
      <w:pPr>
        <w:pStyle w:val="ListBullet"/>
      </w:pPr>
      <w:r>
        <w:t>Any changes to school switching, routing, or firewall infrastructure require instructor/network administrator approval.</w:t>
      </w:r>
    </w:p>
    <w:p>
      <w:pPr>
        <w:pStyle w:val="ListBullet"/>
      </w:pPr>
      <w:r>
        <w:t>Public DNS hosting and deSEC are optional and are not required for the core capstone to function.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HybridLab Capstone Architecture - VLAN 94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