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D04" w:rsidRPr="005E2DBE" w:rsidRDefault="00307DB3" w:rsidP="00894D04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Domain Model</w:t>
      </w:r>
      <w:r w:rsidR="00894D04">
        <w:rPr>
          <w:sz w:val="40"/>
          <w:szCs w:val="40"/>
        </w:rPr>
        <w:t xml:space="preserve"> Document</w:t>
      </w:r>
      <w:bookmarkStart w:id="0" w:name="_GoBack"/>
      <w:bookmarkEnd w:id="0"/>
    </w:p>
    <w:p w:rsidR="00307DB3" w:rsidRPr="00307DB3" w:rsidRDefault="00307DB3" w:rsidP="00307DB3">
      <w:p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ind w:right="480"/>
        <w:rPr>
          <w:rFonts w:ascii="Calibri" w:eastAsia="Calibri" w:hAnsi="Calibri" w:cs="Calibri"/>
          <w:color w:val="000000"/>
          <w:kern w:val="0"/>
          <w:u w:color="000000"/>
          <w:bdr w:val="nil"/>
        </w:rPr>
      </w:pPr>
      <w:r w:rsidRPr="00307DB3">
        <w:rPr>
          <w:rFonts w:ascii="Calibri" w:eastAsia="Calibri" w:hAnsi="Calibri" w:cs="Calibri"/>
          <w:color w:val="000000"/>
          <w:kern w:val="0"/>
          <w:u w:color="000000"/>
          <w:bdr w:val="nil"/>
        </w:rPr>
        <w:t xml:space="preserve">Team </w:t>
      </w:r>
      <w:proofErr w:type="gramStart"/>
      <w:r w:rsidRPr="00307DB3">
        <w:rPr>
          <w:rFonts w:ascii="Calibri" w:eastAsia="Calibri" w:hAnsi="Calibri" w:cs="Calibri"/>
          <w:color w:val="000000"/>
          <w:kern w:val="0"/>
          <w:u w:color="000000"/>
          <w:bdr w:val="nil"/>
        </w:rPr>
        <w:t>Name :</w:t>
      </w:r>
      <w:proofErr w:type="gramEnd"/>
      <w:r w:rsidRPr="00307DB3">
        <w:rPr>
          <w:rFonts w:ascii="Calibri" w:eastAsia="Calibri" w:hAnsi="Calibri" w:cs="Calibri"/>
          <w:color w:val="000000"/>
          <w:kern w:val="0"/>
          <w:u w:color="000000"/>
          <w:bdr w:val="nil"/>
        </w:rPr>
        <w:t xml:space="preserve"> String Cheese</w:t>
      </w:r>
    </w:p>
    <w:p w:rsidR="00307DB3" w:rsidRPr="00307DB3" w:rsidRDefault="00307DB3" w:rsidP="00307DB3">
      <w:p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right="1440"/>
        <w:rPr>
          <w:rFonts w:ascii="Calibri" w:eastAsia="Calibri" w:hAnsi="Calibri" w:cs="Calibri"/>
          <w:color w:val="000000"/>
          <w:kern w:val="0"/>
          <w:u w:color="000000"/>
          <w:bdr w:val="nil"/>
        </w:rPr>
      </w:pPr>
      <w:r w:rsidRPr="00307DB3">
        <w:rPr>
          <w:rFonts w:ascii="Calibri" w:eastAsia="Calibri" w:hAnsi="Calibri" w:cs="Calibri" w:hint="eastAsia"/>
          <w:color w:val="000000"/>
          <w:kern w:val="0"/>
          <w:u w:color="000000"/>
          <w:bdr w:val="nil"/>
        </w:rPr>
        <w:t xml:space="preserve">Team </w:t>
      </w:r>
      <w:proofErr w:type="gramStart"/>
      <w:r w:rsidRPr="00307DB3">
        <w:rPr>
          <w:rFonts w:ascii="Calibri" w:eastAsia="Calibri" w:hAnsi="Calibri" w:cs="Calibri" w:hint="eastAsia"/>
          <w:color w:val="000000"/>
          <w:kern w:val="0"/>
          <w:u w:color="000000"/>
          <w:bdr w:val="nil"/>
        </w:rPr>
        <w:t>Members</w:t>
      </w:r>
      <w:r w:rsidRPr="00307DB3">
        <w:rPr>
          <w:rFonts w:ascii="Calibri" w:eastAsia="Calibri" w:hAnsi="Calibri" w:cs="Calibri"/>
          <w:color w:val="000000"/>
          <w:kern w:val="0"/>
          <w:u w:color="000000"/>
          <w:bdr w:val="nil"/>
        </w:rPr>
        <w:t xml:space="preserve"> </w:t>
      </w:r>
      <w:r w:rsidRPr="00307DB3">
        <w:rPr>
          <w:rFonts w:ascii="Calibri" w:eastAsia="Calibri" w:hAnsi="Calibri" w:cs="Calibri" w:hint="eastAsia"/>
          <w:color w:val="000000"/>
          <w:kern w:val="0"/>
          <w:u w:color="000000"/>
          <w:bdr w:val="nil"/>
        </w:rPr>
        <w:t>:</w:t>
      </w:r>
      <w:proofErr w:type="gramEnd"/>
    </w:p>
    <w:p w:rsidR="00307DB3" w:rsidRPr="00307DB3" w:rsidRDefault="00307DB3" w:rsidP="00307DB3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rPr>
          <w:rFonts w:ascii="新細明體" w:eastAsia="新細明體" w:hAnsi="新細明體" w:cs="新細明體" w:hint="eastAsia"/>
          <w:kern w:val="0"/>
          <w:sz w:val="16"/>
          <w:szCs w:val="16"/>
        </w:rPr>
      </w:pPr>
      <w:r w:rsidRPr="00307DB3">
        <w:rPr>
          <w:rFonts w:ascii="Times New Roman" w:hAnsi="Times New Roman" w:cs="Times New Roman"/>
          <w:kern w:val="0"/>
          <w:bdr w:val="nil"/>
          <w:lang w:eastAsia="en-US"/>
        </w:rPr>
        <w:t>Chris Schaffer</w:t>
      </w:r>
      <w:r w:rsidRPr="00307DB3">
        <w:rPr>
          <w:rFonts w:ascii="Times New Roman" w:hAnsi="Times New Roman" w:cs="Times New Roman" w:hint="eastAsia"/>
          <w:kern w:val="0"/>
          <w:bdr w:val="nil"/>
          <w:lang w:eastAsia="en-US"/>
        </w:rPr>
        <w:t>,</w:t>
      </w:r>
      <w:r w:rsidRPr="00307DB3">
        <w:rPr>
          <w:rFonts w:ascii="Times New Roman" w:hAnsi="Times New Roman" w:cs="Times New Roman"/>
          <w:kern w:val="0"/>
          <w:bdr w:val="nil"/>
          <w:lang w:eastAsia="en-US"/>
        </w:rPr>
        <w:t xml:space="preserve"> </w:t>
      </w:r>
      <w:proofErr w:type="spellStart"/>
      <w:r w:rsidRPr="00307DB3">
        <w:rPr>
          <w:rFonts w:ascii="Times New Roman" w:hAnsi="Times New Roman" w:cs="Times New Roman"/>
          <w:kern w:val="0"/>
          <w:bdr w:val="nil"/>
          <w:lang w:eastAsia="en-US"/>
        </w:rPr>
        <w:t>Meetkumar</w:t>
      </w:r>
      <w:proofErr w:type="spellEnd"/>
      <w:r w:rsidRPr="00307DB3">
        <w:rPr>
          <w:rFonts w:ascii="Times New Roman" w:hAnsi="Times New Roman" w:cs="Times New Roman"/>
          <w:kern w:val="0"/>
          <w:bdr w:val="nil"/>
          <w:lang w:eastAsia="en-US"/>
        </w:rPr>
        <w:t xml:space="preserve"> </w:t>
      </w:r>
      <w:proofErr w:type="spellStart"/>
      <w:r w:rsidRPr="00307DB3">
        <w:rPr>
          <w:rFonts w:ascii="Times New Roman" w:hAnsi="Times New Roman" w:cs="Times New Roman"/>
          <w:kern w:val="0"/>
          <w:bdr w:val="nil"/>
          <w:lang w:eastAsia="en-US"/>
        </w:rPr>
        <w:t>Savaliya</w:t>
      </w:r>
      <w:proofErr w:type="spellEnd"/>
      <w:r w:rsidRPr="00307DB3">
        <w:rPr>
          <w:rFonts w:ascii="Times New Roman" w:hAnsi="Times New Roman" w:cs="Times New Roman"/>
          <w:kern w:val="0"/>
          <w:bdr w:val="nil"/>
          <w:lang w:eastAsia="en-US"/>
        </w:rPr>
        <w:t>, Tim Stroup</w:t>
      </w:r>
      <w:r w:rsidRPr="00307DB3">
        <w:rPr>
          <w:rFonts w:ascii="Times New Roman" w:hAnsi="Times New Roman" w:cs="Times New Roman" w:hint="eastAsia"/>
          <w:kern w:val="0"/>
          <w:bdr w:val="nil"/>
          <w:lang w:eastAsia="en-US"/>
        </w:rPr>
        <w:t>, Wei</w:t>
      </w:r>
      <w:r w:rsidRPr="00307DB3">
        <w:rPr>
          <w:rFonts w:ascii="Times New Roman" w:hAnsi="Times New Roman" w:cs="Times New Roman"/>
          <w:kern w:val="0"/>
          <w:bdr w:val="nil"/>
          <w:lang w:eastAsia="en-US"/>
        </w:rPr>
        <w:t xml:space="preserve"> Chen, </w:t>
      </w:r>
      <w:proofErr w:type="spellStart"/>
      <w:r w:rsidRPr="00307DB3">
        <w:rPr>
          <w:rFonts w:ascii="Times New Roman" w:hAnsi="Times New Roman" w:cs="Times New Roman" w:hint="eastAsia"/>
          <w:kern w:val="0"/>
          <w:bdr w:val="nil"/>
          <w:lang w:eastAsia="en-US"/>
        </w:rPr>
        <w:t>Ya-Hsin</w:t>
      </w:r>
      <w:proofErr w:type="spellEnd"/>
      <w:r w:rsidRPr="00307DB3">
        <w:rPr>
          <w:rFonts w:ascii="Times New Roman" w:hAnsi="Times New Roman" w:cs="Times New Roman"/>
          <w:kern w:val="0"/>
          <w:bdr w:val="nil"/>
          <w:lang w:eastAsia="en-US"/>
        </w:rPr>
        <w:t xml:space="preserve"> Cheng </w:t>
      </w:r>
    </w:p>
    <w:p w:rsidR="00081902" w:rsidRPr="005E2DBE" w:rsidRDefault="00081902" w:rsidP="00081902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Domain Model:</w:t>
      </w:r>
    </w:p>
    <w:p w:rsidR="00A769D0" w:rsidRDefault="00081902">
      <w:r>
        <w:rPr>
          <w:noProof/>
        </w:rPr>
        <w:drawing>
          <wp:inline distT="0" distB="0" distL="0" distR="0">
            <wp:extent cx="5270500" cy="35579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04" w:rsidRDefault="00894D04"/>
    <w:p w:rsidR="00894D04" w:rsidRDefault="00894D04"/>
    <w:p w:rsidR="00894D04" w:rsidRDefault="00894D04"/>
    <w:p w:rsidR="00894D04" w:rsidRDefault="00894D04"/>
    <w:p w:rsidR="00894D04" w:rsidRDefault="00894D04"/>
    <w:p w:rsidR="00894D04" w:rsidRDefault="00894D04"/>
    <w:p w:rsidR="00894D04" w:rsidRDefault="00894D04"/>
    <w:p w:rsidR="00894D04" w:rsidRDefault="00894D04"/>
    <w:p w:rsidR="00307DB3" w:rsidRDefault="00307DB3"/>
    <w:p w:rsidR="00307DB3" w:rsidRDefault="00307DB3"/>
    <w:p w:rsidR="00307DB3" w:rsidRDefault="00307DB3">
      <w:pPr>
        <w:rPr>
          <w:rFonts w:hint="eastAsia"/>
        </w:rPr>
      </w:pPr>
    </w:p>
    <w:p w:rsidR="00894D04" w:rsidRDefault="00894D04"/>
    <w:p w:rsidR="00894D04" w:rsidRDefault="00894D04"/>
    <w:p w:rsidR="00081902" w:rsidRDefault="00894D04" w:rsidP="00081902">
      <w:pPr>
        <w:pStyle w:val="Body"/>
        <w:widowControl w:val="0"/>
        <w:ind w:right="1440"/>
        <w:rPr>
          <w:sz w:val="40"/>
          <w:szCs w:val="40"/>
        </w:rPr>
      </w:pPr>
      <w:r w:rsidRPr="005E6454">
        <w:rPr>
          <w:sz w:val="40"/>
          <w:szCs w:val="40"/>
        </w:rPr>
        <w:lastRenderedPageBreak/>
        <w:t>Glossary:</w:t>
      </w:r>
      <w:r w:rsidR="00081902" w:rsidRPr="005E6454">
        <w:rPr>
          <w:sz w:val="40"/>
          <w:szCs w:val="40"/>
        </w:rPr>
        <w:t xml:space="preserve"> </w:t>
      </w:r>
    </w:p>
    <w:p w:rsidR="00081902" w:rsidRDefault="00081902" w:rsidP="000819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235"/>
      </w:tblGrid>
      <w:tr w:rsidR="00081902" w:rsidRPr="00081902" w:rsidTr="00081902">
        <w:trPr>
          <w:trHeight w:val="85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894D04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新細明體" w:eastAsia="新細明體" w:hAnsi="新細明體" w:cs="新細明體"/>
                <w:kern w:val="0"/>
              </w:rPr>
              <w:t> </w:t>
            </w:r>
            <w:proofErr w:type="spellStart"/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ChessBoard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The board is the combination of spaces that a piece may move and the boundaries of the game.</w:t>
            </w:r>
          </w:p>
        </w:tc>
      </w:tr>
      <w:tr w:rsidR="00081902" w:rsidRPr="00081902" w:rsidTr="00081902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ChessPiece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The game is played with different pieces; each with unique movements and rules. Each player has either six white or six black pieces that include two pawns, one king, one bishop and two rooks.</w:t>
            </w:r>
          </w:p>
        </w:tc>
      </w:tr>
      <w:tr w:rsidR="00081902" w:rsidRPr="00081902" w:rsidTr="00081902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A game consists of two users who take turns moving their pieces around the board.</w:t>
            </w:r>
          </w:p>
        </w:tc>
      </w:tr>
      <w:tr w:rsidR="00081902" w:rsidRPr="00081902" w:rsidTr="00081902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GameFacade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 xml:space="preserve"> The game facade includes the game, user, and invitation, connect to the</w:t>
            </w:r>
            <w:r w:rsidR="00307DB3">
              <w:rPr>
                <w:rFonts w:ascii="Arial" w:eastAsia="新細明體" w:hAnsi="Arial" w:cs="Arial"/>
                <w:color w:val="000000"/>
                <w:kern w:val="0"/>
              </w:rPr>
              <w:t xml:space="preserve"> </w:t>
            </w: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UI. Each click from the UI, will pass the action through the game facade to the game, user, or invitation.</w:t>
            </w:r>
          </w:p>
        </w:tc>
      </w:tr>
      <w:tr w:rsidR="00081902" w:rsidRPr="00081902" w:rsidTr="00081902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Invitation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A user may send an invitation to another user as well as receive an invitation from another user to play a game. A user may send multiple invitations to multiple users to play a game.</w:t>
            </w:r>
          </w:p>
        </w:tc>
      </w:tr>
      <w:tr w:rsidR="00081902" w:rsidRPr="00081902" w:rsidTr="0008190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 xml:space="preserve">A person registered to play the game. They may send invitations to other users to play one or more games at a time. </w:t>
            </w:r>
          </w:p>
        </w:tc>
      </w:tr>
    </w:tbl>
    <w:p w:rsidR="00081902" w:rsidRPr="00081902" w:rsidRDefault="00081902"/>
    <w:sectPr w:rsidR="00081902" w:rsidRPr="00081902" w:rsidSect="00AD48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02"/>
    <w:rsid w:val="00081902"/>
    <w:rsid w:val="00307DB3"/>
    <w:rsid w:val="007E6606"/>
    <w:rsid w:val="00894D04"/>
    <w:rsid w:val="00A769D0"/>
    <w:rsid w:val="00A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E69B3"/>
  <w15:chartTrackingRefBased/>
  <w15:docId w15:val="{4792E057-406F-3D45-AD59-CE3DFD8D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8190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u w:color="000000"/>
      <w:bdr w:val="nil"/>
    </w:rPr>
  </w:style>
  <w:style w:type="paragraph" w:styleId="Web">
    <w:name w:val="Normal (Web)"/>
    <w:basedOn w:val="a"/>
    <w:uiPriority w:val="99"/>
    <w:semiHidden/>
    <w:unhideWhenUsed/>
    <w:rsid w:val="000819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Cheng,YaHsin</dc:creator>
  <cp:keywords/>
  <dc:description/>
  <cp:lastModifiedBy>Cheng,YaHsin</cp:lastModifiedBy>
  <cp:revision>3</cp:revision>
  <dcterms:created xsi:type="dcterms:W3CDTF">2018-12-09T19:34:00Z</dcterms:created>
  <dcterms:modified xsi:type="dcterms:W3CDTF">2018-12-09T21:49:00Z</dcterms:modified>
</cp:coreProperties>
</file>