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76" w:rsidRDefault="00B2706D">
      <w:r>
        <w:tab/>
        <w:t xml:space="preserve">The pen when taken apart consists of 5 individual pieces. A cylindrical tube to house the pen with its ink and ballpoint. A spring that allows the ballpoint to extend beyond the case for when you are ready to write. The ballpoint and ink containment are one solid piece. A tip that attacked on to the cylindrical tube to fully encase the pen. And finally a rubber sleeve to allow a good and comfortable grip when writing. The pen itself could be used without any of the other peripherals but each one makes the whole better. Allows for a more comfortable and easy experience for the user. </w:t>
      </w:r>
      <w:bookmarkStart w:id="0" w:name="_GoBack"/>
      <w:bookmarkEnd w:id="0"/>
    </w:p>
    <w:sectPr w:rsidR="0044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6D"/>
    <w:rsid w:val="00447576"/>
    <w:rsid w:val="00B2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770"/>
  <w15:chartTrackingRefBased/>
  <w15:docId w15:val="{81A782DB-9589-4541-8FCF-B7154FEE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2021-04-06T18:53:00Z</dcterms:created>
  <dcterms:modified xsi:type="dcterms:W3CDTF">2021-04-06T19:15:00Z</dcterms:modified>
</cp:coreProperties>
</file>