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FIN211 Corporate Finance — Exam Cheat Sheet</w:t>
      </w:r>
    </w:p>
    <w:p>
      <w:r>
        <w:rPr>
          <w:i/>
        </w:rPr>
        <w:t>All formulas, decision rules, key definitions and worked examples from the course lectures (Lectures 1–13).</w:t>
      </w:r>
    </w:p>
    <w:p>
      <w:r>
        <w:rPr>
          <w:b w:val="0"/>
          <w:i w:val="0"/>
        </w:rPr>
        <w:t>FIN211 · Every formula, decision rule and key definition from Lectures 1–13, with the course's worked examples (tap “Example” to expand).</w:t>
      </w:r>
    </w:p>
    <w:p>
      <w:r>
        <w:rPr>
          <w:b w:val="0"/>
          <w:i w:val="0"/>
        </w:rPr>
        <w:t xml:space="preserve">Sources: Titman &amp; Keown, </w:t>
      </w:r>
      <w:r>
        <w:rPr>
          <w:b w:val="0"/>
          <w:i/>
        </w:rPr>
        <w:t>Financial Management</w:t>
      </w:r>
      <w:r>
        <w:rPr>
          <w:b w:val="0"/>
          <w:i w:val="0"/>
        </w:rPr>
        <w:t xml:space="preserve"> (13e) · Gitman, </w:t>
      </w:r>
      <w:r>
        <w:rPr>
          <w:b w:val="0"/>
          <w:i/>
        </w:rPr>
        <w:t>Principles of Managerial Finance</w:t>
      </w:r>
      <w:r>
        <w:rPr>
          <w:b w:val="0"/>
          <w:i w:val="0"/>
        </w:rPr>
        <w:t xml:space="preserve"> (15e)</w:t>
      </w:r>
    </w:p>
    <w:p>
      <w:r>
        <w:rPr>
          <w:b w:val="0"/>
          <w:i w:val="0"/>
        </w:rPr>
        <w:t xml:space="preserve">Prepared by </w:t>
      </w:r>
      <w:r>
        <w:rPr>
          <w:b/>
          <w:i w:val="0"/>
        </w:rPr>
        <w:t>领袖 - EBRA</w:t>
      </w:r>
      <w:r>
        <w:rPr>
          <w:b w:val="0"/>
          <w:i w:val="0"/>
        </w:rPr>
        <w:t xml:space="preserve"> · إعداد</w:t>
      </w:r>
    </w:p>
    <w:p>
      <w:pPr>
        <w:pStyle w:val="Heading1"/>
        <w:keepNext/>
      </w:pPr>
      <w:r>
        <w:t>1 · Foundations &amp; Key Terms Lec 1 · Lec 2-P1</w:t>
      </w:r>
    </w:p>
    <w:p>
      <w:pPr>
        <w:pStyle w:val="Heading2"/>
        <w:keepNext/>
      </w:pPr>
      <w:r>
        <w:t>Five principles of finance</w:t>
      </w:r>
    </w:p>
    <w:p>
      <w:pPr>
        <w:pStyle w:val="ListBullet"/>
      </w:pPr>
      <w:r>
        <w:rPr>
          <w:b/>
          <w:i w:val="0"/>
        </w:rPr>
        <w:t>Time value of money</w:t>
      </w:r>
      <w:r>
        <w:rPr>
          <w:b w:val="0"/>
          <w:i w:val="0"/>
        </w:rPr>
        <w:t xml:space="preserve"> — a dollar today &gt; a dollar tomorrow.</w:t>
      </w:r>
    </w:p>
    <w:p>
      <w:pPr>
        <w:pStyle w:val="ListBullet"/>
      </w:pPr>
      <w:r>
        <w:rPr>
          <w:b/>
          <w:i w:val="0"/>
        </w:rPr>
        <w:t>Risk–return trade-off</w:t>
      </w:r>
      <w:r>
        <w:rPr>
          <w:b w:val="0"/>
          <w:i w:val="0"/>
        </w:rPr>
        <w:t xml:space="preserve"> — higher risk ⇒ higher return.</w:t>
      </w:r>
    </w:p>
    <w:p>
      <w:pPr>
        <w:pStyle w:val="ListBullet"/>
      </w:pPr>
      <w:r>
        <w:rPr>
          <w:b/>
          <w:i w:val="0"/>
        </w:rPr>
        <w:t>Cash flows are the source of value</w:t>
      </w:r>
      <w:r>
        <w:rPr>
          <w:b w:val="0"/>
          <w:i w:val="0"/>
        </w:rPr>
        <w:t xml:space="preserve"> (cash that can be taken out of the business).</w:t>
      </w:r>
    </w:p>
    <w:p>
      <w:pPr>
        <w:pStyle w:val="ListBullet"/>
      </w:pPr>
      <w:r>
        <w:rPr>
          <w:b/>
          <w:i w:val="0"/>
        </w:rPr>
        <w:t>Market prices reflect information</w:t>
      </w:r>
      <w:r>
        <w:rPr>
          <w:b w:val="0"/>
          <w:i w:val="0"/>
        </w:rPr>
        <w:t xml:space="preserve"> (buy &amp; sell ⇒ equilibrium).</w:t>
      </w:r>
    </w:p>
    <w:p>
      <w:pPr>
        <w:pStyle w:val="ListBullet"/>
      </w:pPr>
      <w:r>
        <w:rPr>
          <w:b/>
          <w:i w:val="0"/>
        </w:rPr>
        <w:t>Individuals respond to incentives</w:t>
      </w:r>
      <w:r>
        <w:rPr>
          <w:b w:val="0"/>
          <w:i w:val="0"/>
        </w:rPr>
        <w:t xml:space="preserve"> (motivation).</w:t>
      </w:r>
    </w:p>
    <w:p>
      <w:pPr>
        <w:pStyle w:val="Heading2"/>
        <w:keepNext/>
      </w:pPr>
      <w:r>
        <w:t>Business 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</w:r>
          </w:p>
        </w:tc>
        <w:tc>
          <w:tcPr>
            <w:tcW w:type="dxa" w:w="2041"/>
          </w:tcPr>
          <w:p>
            <w:r>
              <w:rPr>
                <w:b/>
              </w:rPr>
              <w:t>Sole proprietorship</w:t>
            </w:r>
          </w:p>
        </w:tc>
        <w:tc>
          <w:tcPr>
            <w:tcW w:type="dxa" w:w="2041"/>
          </w:tcPr>
          <w:p>
            <w:r>
              <w:rPr>
                <w:b/>
              </w:rPr>
              <w:t>Partnership</w:t>
            </w:r>
          </w:p>
        </w:tc>
        <w:tc>
          <w:tcPr>
            <w:tcW w:type="dxa" w:w="2041"/>
          </w:tcPr>
          <w:p>
            <w:r>
              <w:rPr>
                <w:b/>
              </w:rPr>
              <w:t>LP / LLC</w:t>
            </w:r>
          </w:p>
        </w:tc>
        <w:tc>
          <w:tcPr>
            <w:tcW w:type="dxa" w:w="2041"/>
          </w:tcPr>
          <w:p>
            <w:r>
              <w:rPr>
                <w:b/>
              </w:rPr>
              <w:t>Corporation</w:t>
            </w:r>
          </w:p>
        </w:tc>
      </w:tr>
      <w:tr>
        <w:tc>
          <w:tcPr>
            <w:tcW w:type="dxa" w:w="2041"/>
          </w:tcPr>
          <w:p>
            <w:r>
              <w:t>Owners</w:t>
            </w:r>
          </w:p>
        </w:tc>
        <w:tc>
          <w:tcPr>
            <w:tcW w:type="dxa" w:w="2041"/>
          </w:tcPr>
          <w:p>
            <w:r>
              <w:t>One</w:t>
            </w:r>
          </w:p>
        </w:tc>
        <w:tc>
          <w:tcPr>
            <w:tcW w:type="dxa" w:w="2041"/>
          </w:tcPr>
          <w:p>
            <w:r>
              <w:t>Two or more</w:t>
            </w:r>
          </w:p>
        </w:tc>
        <w:tc>
          <w:tcPr>
            <w:tcW w:type="dxa" w:w="2041"/>
          </w:tcPr>
          <w:p>
            <w:r>
              <w:t>≥1 GP + limited LPs</w:t>
            </w:r>
          </w:p>
        </w:tc>
        <w:tc>
          <w:tcPr>
            <w:tcW w:type="dxa" w:w="2041"/>
          </w:tcPr>
          <w:p>
            <w:r>
              <w:t>Shareholders</w:t>
            </w:r>
          </w:p>
        </w:tc>
      </w:tr>
      <w:tr>
        <w:tc>
          <w:tcPr>
            <w:tcW w:type="dxa" w:w="2041"/>
          </w:tcPr>
          <w:p>
            <w:r>
              <w:t>Liability for debts</w:t>
            </w:r>
          </w:p>
        </w:tc>
        <w:tc>
          <w:tcPr>
            <w:tcW w:type="dxa" w:w="2041"/>
          </w:tcPr>
          <w:p>
            <w:r>
              <w:t>Unlimited</w:t>
            </w:r>
          </w:p>
        </w:tc>
        <w:tc>
          <w:tcPr>
            <w:tcW w:type="dxa" w:w="2041"/>
          </w:tcPr>
          <w:p>
            <w:r>
              <w:t>Unlimited (each)</w:t>
            </w:r>
          </w:p>
        </w:tc>
        <w:tc>
          <w:tcPr>
            <w:tcW w:type="dxa" w:w="2041"/>
          </w:tcPr>
          <w:p>
            <w:r>
              <w:t>GP unlimited, LP limited</w:t>
            </w:r>
          </w:p>
        </w:tc>
        <w:tc>
          <w:tcPr>
            <w:tcW w:type="dxa" w:w="2041"/>
          </w:tcPr>
          <w:p>
            <w:r>
              <w:t>Limited</w:t>
            </w:r>
          </w:p>
        </w:tc>
      </w:tr>
      <w:tr>
        <w:tc>
          <w:tcPr>
            <w:tcW w:type="dxa" w:w="2041"/>
          </w:tcPr>
          <w:p>
            <w:r>
              <w:t>Owners manage?</w:t>
            </w:r>
          </w:p>
        </w:tc>
        <w:tc>
          <w:tcPr>
            <w:tcW w:type="dxa" w:w="2041"/>
          </w:tcPr>
          <w:p>
            <w:r>
              <w:t>Yes</w:t>
            </w:r>
          </w:p>
        </w:tc>
        <w:tc>
          <w:tcPr>
            <w:tcW w:type="dxa" w:w="2041"/>
          </w:tcPr>
          <w:p>
            <w:r>
              <w:t>Yes</w:t>
            </w:r>
          </w:p>
        </w:tc>
        <w:tc>
          <w:tcPr>
            <w:tcW w:type="dxa" w:w="2041"/>
          </w:tcPr>
          <w:p>
            <w:r>
              <w:t>GP yes, LP no</w:t>
            </w:r>
          </w:p>
        </w:tc>
        <w:tc>
          <w:tcPr>
            <w:tcW w:type="dxa" w:w="2041"/>
          </w:tcPr>
          <w:p>
            <w:r>
              <w:t>No (managers)</w:t>
            </w:r>
          </w:p>
        </w:tc>
      </w:tr>
      <w:tr>
        <w:tc>
          <w:tcPr>
            <w:tcW w:type="dxa" w:w="2041"/>
          </w:tcPr>
          <w:p>
            <w:r>
              <w:t>Change of ownership dissolves?</w:t>
            </w:r>
          </w:p>
        </w:tc>
        <w:tc>
          <w:tcPr>
            <w:tcW w:type="dxa" w:w="2041"/>
          </w:tcPr>
          <w:p>
            <w:r>
              <w:t>Yes</w:t>
            </w:r>
          </w:p>
        </w:tc>
        <w:tc>
          <w:tcPr>
            <w:tcW w:type="dxa" w:w="2041"/>
          </w:tcPr>
          <w:p>
            <w:r>
              <w:t>Yes</w:t>
            </w:r>
          </w:p>
        </w:tc>
        <w:tc>
          <w:tcPr>
            <w:tcW w:type="dxa" w:w="2041"/>
          </w:tcPr>
          <w:p>
            <w:r>
              <w:t>GP yes, LP no</w:t>
            </w:r>
          </w:p>
        </w:tc>
        <w:tc>
          <w:tcPr>
            <w:tcW w:type="dxa" w:w="2041"/>
          </w:tcPr>
          <w:p>
            <w:r>
              <w:t>No</w:t>
            </w:r>
          </w:p>
        </w:tc>
      </w:tr>
      <w:tr>
        <w:tc>
          <w:tcPr>
            <w:tcW w:type="dxa" w:w="2041"/>
          </w:tcPr>
          <w:p>
            <w:r>
              <w:t>Access to capital</w:t>
            </w:r>
          </w:p>
        </w:tc>
        <w:tc>
          <w:tcPr>
            <w:tcW w:type="dxa" w:w="2041"/>
          </w:tcPr>
          <w:p>
            <w:r>
              <w:t>Limited</w:t>
            </w:r>
          </w:p>
        </w:tc>
        <w:tc>
          <w:tcPr>
            <w:tcW w:type="dxa" w:w="2041"/>
          </w:tcPr>
          <w:p>
            <w:r>
              <w:t>Limited</w:t>
            </w:r>
          </w:p>
        </w:tc>
        <w:tc>
          <w:tcPr>
            <w:tcW w:type="dxa" w:w="2041"/>
          </w:tcPr>
          <w:p>
            <w:r>
              <w:t>Size-dependent</w:t>
            </w:r>
          </w:p>
        </w:tc>
        <w:tc>
          <w:tcPr>
            <w:tcW w:type="dxa" w:w="2041"/>
          </w:tcPr>
          <w:p>
            <w:r>
              <w:t>Very easy</w:t>
            </w:r>
          </w:p>
        </w:tc>
      </w:tr>
      <w:tr>
        <w:tc>
          <w:tcPr>
            <w:tcW w:type="dxa" w:w="2041"/>
          </w:tcPr>
          <w:p>
            <w:r>
              <w:t>Taxation</w:t>
            </w:r>
          </w:p>
        </w:tc>
        <w:tc>
          <w:tcPr>
            <w:tcW w:type="dxa" w:w="2041"/>
          </w:tcPr>
          <w:p>
            <w:r>
              <w:t>Personal</w:t>
            </w:r>
          </w:p>
        </w:tc>
        <w:tc>
          <w:tcPr>
            <w:tcW w:type="dxa" w:w="2041"/>
          </w:tcPr>
          <w:p>
            <w:r>
              <w:t>Personal</w:t>
            </w:r>
          </w:p>
        </w:tc>
        <w:tc>
          <w:tcPr>
            <w:tcW w:type="dxa" w:w="2041"/>
          </w:tcPr>
          <w:p>
            <w:r>
              <w:t>Personal</w:t>
            </w:r>
          </w:p>
        </w:tc>
        <w:tc>
          <w:tcPr>
            <w:tcW w:type="dxa" w:w="2041"/>
          </w:tcPr>
          <w:p>
            <w:r>
              <w:t>Double (earnings + dividends)</w:t>
            </w:r>
          </w:p>
        </w:tc>
      </w:tr>
    </w:tbl>
    <w:p/>
    <w:p>
      <w:pPr>
        <w:pStyle w:val="Heading2"/>
        <w:keepNext/>
      </w:pPr>
      <w:r>
        <w:t>Debt vs Equity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</w:p>
        </w:tc>
        <w:tc>
          <w:tcPr>
            <w:tcW w:type="dxa" w:w="3402"/>
          </w:tcPr>
          <w:p>
            <w:r>
              <w:rPr>
                <w:b/>
              </w:rPr>
              <w:t>Debt</w:t>
            </w:r>
          </w:p>
        </w:tc>
        <w:tc>
          <w:tcPr>
            <w:tcW w:type="dxa" w:w="3402"/>
          </w:tcPr>
          <w:p>
            <w:r>
              <w:rPr>
                <w:b/>
              </w:rPr>
              <w:t>Equity</w:t>
            </w:r>
          </w:p>
        </w:tc>
      </w:tr>
      <w:tr>
        <w:tc>
          <w:tcPr>
            <w:tcW w:type="dxa" w:w="3402"/>
          </w:tcPr>
          <w:p>
            <w:r>
              <w:t>Voting rights</w:t>
            </w:r>
          </w:p>
        </w:tc>
        <w:tc>
          <w:tcPr>
            <w:tcW w:type="dxa" w:w="3402"/>
          </w:tcPr>
          <w:p>
            <w:r>
              <w:t>No</w:t>
            </w:r>
          </w:p>
        </w:tc>
        <w:tc>
          <w:tcPr>
            <w:tcW w:type="dxa" w:w="3402"/>
          </w:tcPr>
          <w:p>
            <w:r>
              <w:t>Yes</w:t>
            </w:r>
          </w:p>
        </w:tc>
      </w:tr>
      <w:tr>
        <w:tc>
          <w:tcPr>
            <w:tcW w:type="dxa" w:w="3402"/>
          </w:tcPr>
          <w:p>
            <w:r>
              <w:t>Claim on income/assets</w:t>
            </w:r>
          </w:p>
        </w:tc>
        <w:tc>
          <w:tcPr>
            <w:tcW w:type="dxa" w:w="3402"/>
          </w:tcPr>
          <w:p>
            <w:r>
              <w:t>Senior</w:t>
            </w:r>
          </w:p>
        </w:tc>
        <w:tc>
          <w:tcPr>
            <w:tcW w:type="dxa" w:w="3402"/>
          </w:tcPr>
          <w:p>
            <w:r>
              <w:t>Subordinate</w:t>
            </w:r>
          </w:p>
        </w:tc>
      </w:tr>
      <w:tr>
        <w:tc>
          <w:tcPr>
            <w:tcW w:type="dxa" w:w="3402"/>
          </w:tcPr>
          <w:p>
            <w:r>
              <w:t>Maturity</w:t>
            </w:r>
          </w:p>
        </w:tc>
        <w:tc>
          <w:tcPr>
            <w:tcW w:type="dxa" w:w="3402"/>
          </w:tcPr>
          <w:p>
            <w:r>
              <w:t>Stated</w:t>
            </w:r>
          </w:p>
        </w:tc>
        <w:tc>
          <w:tcPr>
            <w:tcW w:type="dxa" w:w="3402"/>
          </w:tcPr>
          <w:p>
            <w:r>
              <w:t>None</w:t>
            </w:r>
          </w:p>
        </w:tc>
      </w:tr>
      <w:tr>
        <w:tc>
          <w:tcPr>
            <w:tcW w:type="dxa" w:w="3402"/>
          </w:tcPr>
          <w:p>
            <w:r>
              <w:t>Tax treatment</w:t>
            </w:r>
          </w:p>
        </w:tc>
        <w:tc>
          <w:tcPr>
            <w:tcW w:type="dxa" w:w="3402"/>
          </w:tcPr>
          <w:p>
            <w:r>
              <w:t>Interest deductible</w:t>
            </w:r>
          </w:p>
        </w:tc>
        <w:tc>
          <w:tcPr>
            <w:tcW w:type="dxa" w:w="3402"/>
          </w:tcPr>
          <w:p>
            <w:r>
              <w:t>No deduction</w:t>
            </w:r>
          </w:p>
        </w:tc>
      </w:tr>
    </w:tbl>
    <w:p/>
    <w:p>
      <w:pPr>
        <w:pStyle w:val="Heading2"/>
        <w:keepNext/>
      </w:pPr>
      <w:r>
        <w:t>Accounting vs Finance</w:t>
      </w:r>
    </w:p>
    <w:p>
      <w:pPr>
        <w:pStyle w:val="ListBullet"/>
      </w:pPr>
      <w:r>
        <w:rPr>
          <w:b w:val="0"/>
          <w:i w:val="0"/>
        </w:rPr>
        <w:t xml:space="preserve">Focus: accounting = past &amp; present · finance = </w:t>
      </w:r>
      <w:r>
        <w:rPr>
          <w:b/>
          <w:i w:val="0"/>
        </w:rPr>
        <w:t>future-oriented</w:t>
      </w:r>
      <w:r>
        <w:rPr>
          <w:b w:val="0"/>
          <w:i w:val="0"/>
        </w:rPr>
        <w:t xml:space="preserve"> decisions.</w:t>
      </w:r>
    </w:p>
    <w:p>
      <w:pPr>
        <w:pStyle w:val="ListBullet"/>
      </w:pPr>
      <w:r>
        <w:rPr>
          <w:b w:val="0"/>
          <w:i w:val="0"/>
        </w:rPr>
        <w:t xml:space="preserve">Basis: accounting = </w:t>
      </w:r>
      <w:r>
        <w:rPr>
          <w:b/>
          <w:i w:val="0"/>
        </w:rPr>
        <w:t>accrual</w:t>
      </w:r>
      <w:r>
        <w:rPr>
          <w:b w:val="0"/>
          <w:i w:val="0"/>
        </w:rPr>
        <w:t xml:space="preserve"> (IFRS/GAAP) · finance = </w:t>
      </w:r>
      <w:r>
        <w:rPr>
          <w:b/>
          <w:i w:val="0"/>
        </w:rPr>
        <w:t>cash</w:t>
      </w:r>
      <w:r>
        <w:rPr>
          <w:b w:val="0"/>
          <w:i w:val="0"/>
        </w:rPr>
        <w:t xml:space="preserve"> (risk, TVM, value).</w:t>
      </w:r>
    </w:p>
    <w:p>
      <w:pPr>
        <w:pStyle w:val="Heading2"/>
        <w:keepNext/>
      </w:pPr>
      <w:r>
        <w:t>Earnings per share</w:t>
      </w:r>
    </w:p>
    <w:p>
      <w:pPr>
        <w:spacing w:before="80" w:after="80"/>
        <w:ind w:left="340"/>
      </w:pPr>
      <w:r>
        <w:rPr>
          <w:rFonts w:ascii="Cambria" w:hAnsi="Cambria"/>
          <w:b/>
          <w:i w:val="0"/>
          <w:sz w:val="22"/>
        </w:rPr>
        <w:t>EPS</w:t>
      </w:r>
      <w:r>
        <w:rPr>
          <w:rFonts w:ascii="Cambria" w:hAnsi="Cambria"/>
          <w:b w:val="0"/>
          <w:i w:val="0"/>
          <w:sz w:val="22"/>
        </w:rPr>
        <w:t xml:space="preserve"> = </w:t>
      </w:r>
      <w:r>
        <w:rPr>
          <w:rFonts w:ascii="Cambria" w:hAnsi="Cambria"/>
          <w:b w:val="0"/>
          <w:i w:val="0"/>
          <w:sz w:val="22"/>
        </w:rPr>
        <w:t xml:space="preserve"> (Net income − Preferred dividends) / (Outstanding common shares) </w:t>
      </w:r>
    </w:p>
    <w:p>
      <w:r>
        <w:rPr>
          <w:b/>
          <w:i w:val="0"/>
          <w:color w:val="8A6D1A"/>
        </w:rPr>
        <w:t>Example — EPS</w:t>
      </w:r>
    </w:p>
    <w:p>
      <w:pPr>
        <w:pStyle w:val="Heading1"/>
        <w:keepNext/>
        <w:pageBreakBefore/>
      </w:pPr>
      <w:r>
        <w:t>2 · Cash Flow, OCF, FCF &amp; FCFF Lec 2-P2 · Lec 3</w:t>
      </w:r>
    </w:p>
    <w:p>
      <w:pPr>
        <w:pStyle w:val="Heading2"/>
        <w:keepNext/>
      </w:pPr>
      <w:r>
        <w:t>Cash-flow categories</w:t>
      </w:r>
    </w:p>
    <w:p>
      <w:pPr>
        <w:pStyle w:val="ListBullet"/>
      </w:pPr>
      <w:r>
        <w:rPr>
          <w:b/>
          <w:i w:val="0"/>
        </w:rPr>
        <w:t>Operating:</w:t>
      </w:r>
      <w:r>
        <w:rPr>
          <w:b w:val="0"/>
          <w:i w:val="0"/>
        </w:rPr>
        <w:t xml:space="preserve"> cash sales, collecting A/R, tax refunds | paying wages, payables, overhead, interest.</w:t>
      </w:r>
    </w:p>
    <w:p>
      <w:pPr>
        <w:pStyle w:val="ListBullet"/>
      </w:pPr>
      <w:r>
        <w:rPr>
          <w:b/>
          <w:i w:val="0"/>
        </w:rPr>
        <w:t>Investing:</w:t>
      </w:r>
      <w:r>
        <w:rPr>
          <w:b w:val="0"/>
          <w:i w:val="0"/>
        </w:rPr>
        <w:t xml:space="preserve"> sale / purchase of fixed assets.</w:t>
      </w:r>
    </w:p>
    <w:p>
      <w:pPr>
        <w:pStyle w:val="ListBullet"/>
      </w:pPr>
      <w:r>
        <w:rPr>
          <w:b/>
          <w:i w:val="0"/>
        </w:rPr>
        <w:t>Financing:</w:t>
      </w:r>
      <w:r>
        <w:rPr>
          <w:b w:val="0"/>
          <w:i w:val="0"/>
        </w:rPr>
        <w:t xml:space="preserve"> sale of stock, borrowing | buying back stock, dividends, debt repayment.</w:t>
      </w:r>
    </w:p>
    <w:p>
      <w:pPr>
        <w:pStyle w:val="Heading2"/>
        <w:keepNext/>
      </w:pPr>
      <w:r>
        <w:t>Depreciation (MACRS, 5-year recovery)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Rates: Yr1 </w:t>
      </w:r>
      <w:r>
        <w:rPr>
          <w:rFonts w:ascii="Cambria" w:hAnsi="Cambria"/>
          <w:b/>
          <w:i w:val="0"/>
          <w:sz w:val="22"/>
        </w:rPr>
        <w:t>20%</w:t>
      </w:r>
      <w:r>
        <w:rPr>
          <w:rFonts w:ascii="Cambria" w:hAnsi="Cambria"/>
          <w:b w:val="0"/>
          <w:i w:val="0"/>
          <w:sz w:val="22"/>
        </w:rPr>
        <w:t xml:space="preserve"> · Yr2 </w:t>
      </w:r>
      <w:r>
        <w:rPr>
          <w:rFonts w:ascii="Cambria" w:hAnsi="Cambria"/>
          <w:b/>
          <w:i w:val="0"/>
          <w:sz w:val="22"/>
        </w:rPr>
        <w:t>32%</w:t>
      </w:r>
      <w:r>
        <w:rPr>
          <w:rFonts w:ascii="Cambria" w:hAnsi="Cambria"/>
          <w:b w:val="0"/>
          <w:i w:val="0"/>
          <w:sz w:val="22"/>
        </w:rPr>
        <w:t xml:space="preserve"> · Yr3 </w:t>
      </w:r>
      <w:r>
        <w:rPr>
          <w:rFonts w:ascii="Cambria" w:hAnsi="Cambria"/>
          <w:b/>
          <w:i w:val="0"/>
          <w:sz w:val="22"/>
        </w:rPr>
        <w:t>19%</w:t>
      </w:r>
      <w:r>
        <w:rPr>
          <w:rFonts w:ascii="Cambria" w:hAnsi="Cambria"/>
          <w:b w:val="0"/>
          <w:i w:val="0"/>
          <w:sz w:val="22"/>
        </w:rPr>
        <w:t xml:space="preserve"> · Yr4 </w:t>
      </w:r>
      <w:r>
        <w:rPr>
          <w:rFonts w:ascii="Cambria" w:hAnsi="Cambria"/>
          <w:b/>
          <w:i w:val="0"/>
          <w:sz w:val="22"/>
        </w:rPr>
        <w:t>12%</w:t>
      </w:r>
      <w:r>
        <w:rPr>
          <w:rFonts w:ascii="Cambria" w:hAnsi="Cambria"/>
          <w:b w:val="0"/>
          <w:i w:val="0"/>
          <w:sz w:val="22"/>
        </w:rPr>
        <w:t xml:space="preserve"> · Yr5 </w:t>
      </w:r>
      <w:r>
        <w:rPr>
          <w:rFonts w:ascii="Cambria" w:hAnsi="Cambria"/>
          <w:b/>
          <w:i w:val="0"/>
          <w:sz w:val="22"/>
        </w:rPr>
        <w:t>12%</w:t>
      </w:r>
      <w:r>
        <w:rPr>
          <w:rFonts w:ascii="Cambria" w:hAnsi="Cambria"/>
          <w:b w:val="0"/>
          <w:i w:val="0"/>
          <w:sz w:val="22"/>
        </w:rPr>
        <w:t xml:space="preserve"> · Yr6 </w:t>
      </w:r>
      <w:r>
        <w:rPr>
          <w:rFonts w:ascii="Cambria" w:hAnsi="Cambria"/>
          <w:b/>
          <w:i w:val="0"/>
          <w:sz w:val="22"/>
        </w:rPr>
        <w:t>5%</w:t>
      </w:r>
      <w:r>
        <w:rPr>
          <w:rFonts w:ascii="Cambria" w:hAnsi="Cambria"/>
          <w:b w:val="0"/>
          <w:i w:val="0"/>
          <w:sz w:val="22"/>
        </w:rPr>
        <w:t xml:space="preserve">  →  Dep</w:t>
      </w:r>
      <w:r>
        <w:rPr>
          <w:rFonts w:ascii="Cambria" w:hAnsi="Cambria"/>
          <w:b w:val="0"/>
          <w:i w:val="0"/>
          <w:sz w:val="22"/>
        </w:rPr>
        <w:t>t</w:t>
      </w:r>
      <w:r>
        <w:rPr>
          <w:rFonts w:ascii="Cambria" w:hAnsi="Cambria"/>
          <w:b w:val="0"/>
          <w:i w:val="0"/>
          <w:sz w:val="22"/>
        </w:rPr>
        <w:t xml:space="preserve"> = Installed cost × rate</w:t>
      </w:r>
      <w:r>
        <w:rPr>
          <w:rFonts w:ascii="Cambria" w:hAnsi="Cambria"/>
          <w:b w:val="0"/>
          <w:i w:val="0"/>
          <w:sz w:val="22"/>
        </w:rPr>
        <w:t>t</w:t>
      </w:r>
    </w:p>
    <w:p>
      <w:r>
        <w:rPr>
          <w:b/>
          <w:i w:val="0"/>
          <w:color w:val="8A6D1A"/>
        </w:rPr>
        <w:t>Example — $100,000 machine</w:t>
      </w:r>
    </w:p>
    <w:p>
      <w:pPr>
        <w:pStyle w:val="Heading2"/>
        <w:keepNext/>
      </w:pPr>
      <w:r>
        <w:t>Operating cash flow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NOPAT = EBIT × (1 − T)   |   </w:t>
      </w:r>
      <w:r>
        <w:rPr>
          <w:rFonts w:ascii="Cambria" w:hAnsi="Cambria"/>
          <w:b/>
          <w:i w:val="0"/>
          <w:sz w:val="22"/>
        </w:rPr>
        <w:t>OCF (unlevered)</w:t>
      </w:r>
      <w:r>
        <w:rPr>
          <w:rFonts w:ascii="Cambria" w:hAnsi="Cambria"/>
          <w:b w:val="0"/>
          <w:i w:val="0"/>
          <w:sz w:val="22"/>
        </w:rPr>
        <w:t xml:space="preserve"> = EBIT × (1 − T) + Depreciation</w:t>
      </w:r>
    </w:p>
    <w:p>
      <w:pPr>
        <w:spacing w:before="80" w:after="80"/>
        <w:ind w:left="340"/>
      </w:pPr>
      <w:r>
        <w:rPr>
          <w:rFonts w:ascii="Cambria" w:hAnsi="Cambria"/>
          <w:b/>
          <w:i w:val="0"/>
          <w:sz w:val="22"/>
        </w:rPr>
        <w:t>OCF (levered)</w:t>
      </w:r>
      <w:r>
        <w:rPr>
          <w:rFonts w:ascii="Cambria" w:hAnsi="Cambria"/>
          <w:b w:val="0"/>
          <w:i w:val="0"/>
          <w:sz w:val="22"/>
        </w:rPr>
        <w:t xml:space="preserve"> = Net income after tax + Depreciation</w:t>
      </w:r>
    </w:p>
    <w:p>
      <w:r>
        <w:rPr>
          <w:b w:val="0"/>
          <w:i w:val="0"/>
        </w:rPr>
        <w:t>Unlevered = cash to all capital providers before debt &amp; equity; levered = after interest/debt servicing.</w:t>
      </w:r>
    </w:p>
    <w:p>
      <w:r>
        <w:rPr>
          <w:b/>
          <w:i w:val="0"/>
          <w:color w:val="8A6D1A"/>
        </w:rPr>
        <w:t>Example — Baker Corp.</w:t>
      </w:r>
    </w:p>
    <w:p>
      <w:pPr>
        <w:pStyle w:val="Heading2"/>
        <w:keepNext/>
      </w:pPr>
      <w:r>
        <w:t>Free cash flow (FCF)</w:t>
      </w:r>
    </w:p>
    <w:p>
      <w:pPr>
        <w:spacing w:before="80" w:after="80"/>
        <w:ind w:left="340"/>
      </w:pPr>
      <w:r>
        <w:rPr>
          <w:rFonts w:ascii="Cambria" w:hAnsi="Cambria"/>
          <w:b/>
          <w:i w:val="0"/>
          <w:sz w:val="22"/>
        </w:rPr>
        <w:t>FCF</w:t>
      </w:r>
      <w:r>
        <w:rPr>
          <w:rFonts w:ascii="Cambria" w:hAnsi="Cambria"/>
          <w:b w:val="0"/>
          <w:i w:val="0"/>
          <w:sz w:val="22"/>
        </w:rPr>
        <w:t xml:space="preserve"> = OCF − NFAI − NCAI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NFAI = Δ Net fixed assets + Depreciation   |   NCAI = Δ Current assets − Δ (A/P + Accruals)</w:t>
      </w:r>
    </w:p>
    <w:p>
      <w:r>
        <w:rPr>
          <w:b/>
          <w:i w:val="0"/>
          <w:color w:val="8A6D1A"/>
        </w:rPr>
        <w:t>Example — Baker Corp.</w:t>
      </w:r>
    </w:p>
    <w:p>
      <w:pPr>
        <w:pStyle w:val="Heading2"/>
        <w:keepNext/>
      </w:pPr>
      <w:r>
        <w:t>Free cash flow to the firm (FCFF) ★</w:t>
      </w:r>
    </w:p>
    <w:p>
      <w:pPr>
        <w:spacing w:before="80" w:after="80"/>
        <w:ind w:left="340"/>
      </w:pPr>
      <w:r>
        <w:rPr>
          <w:rFonts w:ascii="Cambria" w:hAnsi="Cambria"/>
          <w:b/>
          <w:i w:val="0"/>
          <w:sz w:val="22"/>
        </w:rPr>
        <w:t>FCFF</w:t>
      </w:r>
      <w:r>
        <w:rPr>
          <w:rFonts w:ascii="Cambria" w:hAnsi="Cambria"/>
          <w:b w:val="0"/>
          <w:i w:val="0"/>
          <w:sz w:val="22"/>
        </w:rPr>
        <w:t xml:space="preserve"> = NI + Depreciation + [Interest × (1 − T)] − Fixed-asset investment − Δ Working capital</w:t>
      </w:r>
    </w:p>
    <w:p>
      <w:r>
        <w:rPr>
          <w:b w:val="0"/>
          <w:i w:val="0"/>
        </w:rPr>
        <w:t>FCFF = cash available to debt holders, equity holders and re-investment.</w:t>
      </w:r>
    </w:p>
    <w:p>
      <w:r>
        <w:rPr>
          <w:b/>
          <w:i w:val="0"/>
          <w:color w:val="8A6D1A"/>
        </w:rPr>
        <w:t>Example 1</w:t>
      </w:r>
    </w:p>
    <w:p>
      <w:r>
        <w:rPr>
          <w:b/>
          <w:i w:val="0"/>
          <w:color w:val="8A6D1A"/>
        </w:rPr>
        <w:t>Example 2 — ABC Co.</w:t>
      </w:r>
    </w:p>
    <w:p>
      <w:pPr>
        <w:pStyle w:val="Heading2"/>
        <w:keepNext/>
      </w:pPr>
      <w:r>
        <w:t>Cash-flow ratios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Cash-flow margin = </w:t>
      </w:r>
      <w:r>
        <w:rPr>
          <w:rFonts w:ascii="Cambria" w:hAnsi="Cambria"/>
          <w:b w:val="0"/>
          <w:i w:val="0"/>
          <w:sz w:val="22"/>
        </w:rPr>
        <w:t xml:space="preserve"> OCF / (Sales revenue) </w:t>
      </w:r>
      <w:r>
        <w:rPr>
          <w:rFonts w:ascii="Cambria" w:hAnsi="Cambria"/>
          <w:b w:val="0"/>
          <w:i w:val="0"/>
          <w:sz w:val="22"/>
        </w:rPr>
        <w:t xml:space="preserve">   |   Cash-flow coverage = </w:t>
      </w:r>
      <w:r>
        <w:rPr>
          <w:rFonts w:ascii="Cambria" w:hAnsi="Cambria"/>
          <w:b w:val="0"/>
          <w:i w:val="0"/>
          <w:sz w:val="22"/>
        </w:rPr>
        <w:t xml:space="preserve"> OCF / (Total debt) </w:t>
      </w:r>
    </w:p>
    <w:p>
      <w:r>
        <w:rPr>
          <w:b w:val="0"/>
          <w:i w:val="0"/>
        </w:rPr>
        <w:t>Margin: high = strong cash conversion; negative = operations consume cash. Coverage: high = debt repaid quickly (&gt;1 ⇒ under one year); 0.1–0.3 acceptable; &lt;0.1 low; negative = financial risk. ABC: margin = 345,000/2,000,000 = 0.1725; coverage = 345,000/450,000 ≈ 0.77.</w:t>
      </w:r>
    </w:p>
    <w:p>
      <w:pPr>
        <w:pStyle w:val="Heading1"/>
        <w:keepNext/>
        <w:pageBreakBefore/>
      </w:pPr>
      <w:r>
        <w:t>3 · Cash Budgeting Lec 4-P1</w:t>
      </w:r>
    </w:p>
    <w:p>
      <w:r>
        <w:rPr>
          <w:b w:val="0"/>
          <w:i w:val="0"/>
        </w:rPr>
        <w:t xml:space="preserve">Financial planning = </w:t>
      </w:r>
      <w:r>
        <w:rPr>
          <w:b/>
          <w:i w:val="0"/>
        </w:rPr>
        <w:t>cash planning</w:t>
      </w:r>
      <w:r>
        <w:rPr>
          <w:b w:val="0"/>
          <w:i w:val="0"/>
        </w:rPr>
        <w:t xml:space="preserve"> (cash budget) + </w:t>
      </w:r>
      <w:r>
        <w:rPr>
          <w:b/>
          <w:i w:val="0"/>
        </w:rPr>
        <w:t>profit planning</w:t>
      </w:r>
      <w:r>
        <w:rPr>
          <w:b w:val="0"/>
          <w:i w:val="0"/>
        </w:rPr>
        <w:t xml:space="preserve"> (pro-forma statements). The cash budget shows expected cash </w:t>
      </w:r>
      <w:r>
        <w:rPr>
          <w:b/>
          <w:i w:val="0"/>
        </w:rPr>
        <w:t>shortages / surpluses</w:t>
      </w:r>
      <w:r>
        <w:rPr>
          <w:b w:val="0"/>
          <w:i w:val="0"/>
        </w:rPr>
        <w:t xml:space="preserve"> month by month.</w:t>
      </w:r>
    </w:p>
    <w:p>
      <w:pPr>
        <w:pStyle w:val="Heading2"/>
        <w:keepNext/>
      </w:pPr>
      <w:r>
        <w:t>The three steps</w:t>
      </w:r>
    </w:p>
    <w:p>
      <w:pPr>
        <w:pStyle w:val="ListBullet"/>
      </w:pPr>
      <w:r>
        <w:rPr>
          <w:b/>
          <w:i w:val="0"/>
        </w:rPr>
        <w:t>Step 1 — Cash receipts:</w:t>
      </w:r>
      <w:r>
        <w:rPr>
          <w:b w:val="0"/>
          <w:i w:val="0"/>
        </w:rPr>
        <w:t xml:space="preserve"> cash sales (% of sales) + collections of A/R lagged 1 month and 2 months + other receipts.</w:t>
      </w:r>
    </w:p>
    <w:p>
      <w:pPr>
        <w:pStyle w:val="ListBullet"/>
      </w:pPr>
      <w:r>
        <w:rPr>
          <w:b/>
          <w:i w:val="0"/>
        </w:rPr>
        <w:t>Step 2 — Cash disbursements:</w:t>
      </w:r>
      <w:r>
        <w:rPr>
          <w:b w:val="0"/>
          <w:i w:val="0"/>
        </w:rPr>
        <w:t xml:space="preserve"> purchases (% of sales) paid cash / lagged 1 mo / lagged 2 mo + rent, wages &amp; salaries, taxes, fixed-asset outlays, interest, dividends, principal.</w:t>
      </w:r>
    </w:p>
    <w:p>
      <w:pPr>
        <w:pStyle w:val="ListBullet"/>
      </w:pPr>
      <w:r>
        <w:rPr>
          <w:b/>
          <w:i w:val="0"/>
        </w:rPr>
        <w:t>Step 3 — Financing position: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Net cash flow = Receipts − Disbursements  →  Ending cash = Net CF + Beginning cash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Ending &lt; Minimum ⇒ </w:t>
      </w:r>
      <w:r>
        <w:rPr>
          <w:rFonts w:ascii="Cambria" w:hAnsi="Cambria"/>
          <w:b/>
          <w:i w:val="0"/>
          <w:sz w:val="22"/>
        </w:rPr>
        <w:t>Required total financing</w:t>
      </w:r>
      <w:r>
        <w:rPr>
          <w:rFonts w:ascii="Cambria" w:hAnsi="Cambria"/>
          <w:b w:val="0"/>
          <w:i w:val="0"/>
          <w:sz w:val="22"/>
        </w:rPr>
        <w:t xml:space="preserve"> (notes payable)  |  Ending &gt; Minimum ⇒ </w:t>
      </w:r>
      <w:r>
        <w:rPr>
          <w:rFonts w:ascii="Cambria" w:hAnsi="Cambria"/>
          <w:b/>
          <w:i w:val="0"/>
          <w:sz w:val="22"/>
        </w:rPr>
        <w:t>Excess cash</w:t>
      </w:r>
      <w:r>
        <w:rPr>
          <w:rFonts w:ascii="Cambria" w:hAnsi="Cambria"/>
          <w:b w:val="0"/>
          <w:i w:val="0"/>
          <w:sz w:val="22"/>
        </w:rPr>
        <w:t xml:space="preserve"> (marketable securities)</w:t>
      </w:r>
    </w:p>
    <w:p>
      <w:r>
        <w:rPr>
          <w:b/>
          <w:i w:val="0"/>
          <w:color w:val="8A6D1A"/>
        </w:rPr>
        <w:t>Example — Halley Co. (Oct–Dec, $000; sales Aug 100, Sep 200, Oct 400, Nov 300, Dec 200; 20% cash, 50% +1mo, 30% +2mo; Dec dividend +30)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</w:p>
        </w:tc>
        <w:tc>
          <w:tcPr>
            <w:tcW w:type="dxa" w:w="2551"/>
          </w:tcPr>
          <w:p>
            <w:r>
              <w:rPr>
                <w:b/>
              </w:rPr>
              <w:t>Oct</w:t>
            </w:r>
          </w:p>
        </w:tc>
        <w:tc>
          <w:tcPr>
            <w:tcW w:type="dxa" w:w="2551"/>
          </w:tcPr>
          <w:p>
            <w:r>
              <w:rPr>
                <w:b/>
              </w:rPr>
              <w:t>Nov</w:t>
            </w:r>
          </w:p>
        </w:tc>
        <w:tc>
          <w:tcPr>
            <w:tcW w:type="dxa" w:w="2551"/>
          </w:tcPr>
          <w:p>
            <w:r>
              <w:rPr>
                <w:b/>
              </w:rPr>
              <w:t>Dec</w:t>
            </w:r>
          </w:p>
        </w:tc>
      </w:tr>
      <w:tr>
        <w:tc>
          <w:tcPr>
            <w:tcW w:type="dxa" w:w="2551"/>
          </w:tcPr>
          <w:p>
            <w:r>
              <w:t>Total cash receipts</w:t>
            </w:r>
          </w:p>
        </w:tc>
        <w:tc>
          <w:tcPr>
            <w:tcW w:type="dxa" w:w="2551"/>
          </w:tcPr>
          <w:p>
            <w:r>
              <w:t>210</w:t>
            </w:r>
          </w:p>
        </w:tc>
        <w:tc>
          <w:tcPr>
            <w:tcW w:type="dxa" w:w="2551"/>
          </w:tcPr>
          <w:p>
            <w:r>
              <w:t>320</w:t>
            </w:r>
          </w:p>
        </w:tc>
        <w:tc>
          <w:tcPr>
            <w:tcW w:type="dxa" w:w="2551"/>
          </w:tcPr>
          <w:p>
            <w:r>
              <w:t>340</w:t>
            </w:r>
          </w:p>
        </w:tc>
      </w:tr>
      <w:tr>
        <w:tc>
          <w:tcPr>
            <w:tcW w:type="dxa" w:w="2551"/>
          </w:tcPr>
          <w:p>
            <w:r>
              <w:t>Less: disbursements (purchases = 70% of sales; 10% cash, 70% +1mo, 20% +2mo)</w:t>
            </w:r>
          </w:p>
        </w:tc>
        <w:tc>
          <w:tcPr>
            <w:tcW w:type="dxa" w:w="2551"/>
          </w:tcPr>
          <w:p>
            <w:r>
              <w:t>213</w:t>
            </w:r>
          </w:p>
        </w:tc>
        <w:tc>
          <w:tcPr>
            <w:tcW w:type="dxa" w:w="2551"/>
          </w:tcPr>
          <w:p>
            <w:r>
              <w:t>418</w:t>
            </w:r>
          </w:p>
        </w:tc>
        <w:tc>
          <w:tcPr>
            <w:tcW w:type="dxa" w:w="2551"/>
          </w:tcPr>
          <w:p>
            <w:r>
              <w:t>305</w:t>
            </w:r>
          </w:p>
        </w:tc>
      </w:tr>
      <w:tr>
        <w:tc>
          <w:tcPr>
            <w:tcW w:type="dxa" w:w="2551"/>
          </w:tcPr>
          <w:p>
            <w:r>
              <w:t>= Net cash flow</w:t>
            </w:r>
          </w:p>
        </w:tc>
        <w:tc>
          <w:tcPr>
            <w:tcW w:type="dxa" w:w="2551"/>
          </w:tcPr>
          <w:p>
            <w:r>
              <w:t>(3)</w:t>
            </w:r>
          </w:p>
        </w:tc>
        <w:tc>
          <w:tcPr>
            <w:tcW w:type="dxa" w:w="2551"/>
          </w:tcPr>
          <w:p>
            <w:r>
              <w:t>(98)</w:t>
            </w:r>
          </w:p>
        </w:tc>
        <w:tc>
          <w:tcPr>
            <w:tcW w:type="dxa" w:w="2551"/>
          </w:tcPr>
          <w:p>
            <w:r>
              <w:t>35</w:t>
            </w:r>
          </w:p>
        </w:tc>
      </w:tr>
      <w:tr>
        <w:tc>
          <w:tcPr>
            <w:tcW w:type="dxa" w:w="2551"/>
          </w:tcPr>
          <w:p>
            <w:r>
              <w:t>+ Beginning cash</w:t>
            </w:r>
          </w:p>
        </w:tc>
        <w:tc>
          <w:tcPr>
            <w:tcW w:type="dxa" w:w="2551"/>
          </w:tcPr>
          <w:p>
            <w:r>
              <w:t>50</w:t>
            </w:r>
          </w:p>
        </w:tc>
        <w:tc>
          <w:tcPr>
            <w:tcW w:type="dxa" w:w="2551"/>
          </w:tcPr>
          <w:p>
            <w:r>
              <w:t>47</w:t>
            </w:r>
          </w:p>
        </w:tc>
        <w:tc>
          <w:tcPr>
            <w:tcW w:type="dxa" w:w="2551"/>
          </w:tcPr>
          <w:p>
            <w:r>
              <w:t>(51)</w:t>
            </w:r>
          </w:p>
        </w:tc>
      </w:tr>
      <w:tr>
        <w:tc>
          <w:tcPr>
            <w:tcW w:type="dxa" w:w="2551"/>
          </w:tcPr>
          <w:p>
            <w:r>
              <w:t>= Ending cash</w:t>
            </w:r>
          </w:p>
        </w:tc>
        <w:tc>
          <w:tcPr>
            <w:tcW w:type="dxa" w:w="2551"/>
          </w:tcPr>
          <w:p>
            <w:r>
              <w:t>47</w:t>
            </w:r>
          </w:p>
        </w:tc>
        <w:tc>
          <w:tcPr>
            <w:tcW w:type="dxa" w:w="2551"/>
          </w:tcPr>
          <w:p>
            <w:r>
              <w:t>(51)</w:t>
            </w:r>
          </w:p>
        </w:tc>
        <w:tc>
          <w:tcPr>
            <w:tcW w:type="dxa" w:w="2551"/>
          </w:tcPr>
          <w:p>
            <w:r>
              <w:t>(16)</w:t>
            </w:r>
          </w:p>
        </w:tc>
      </w:tr>
      <w:tr>
        <w:tc>
          <w:tcPr>
            <w:tcW w:type="dxa" w:w="2551"/>
          </w:tcPr>
          <w:p>
            <w:r>
              <w:t>− Minimum cash balance</w:t>
            </w:r>
          </w:p>
        </w:tc>
        <w:tc>
          <w:tcPr>
            <w:tcW w:type="dxa" w:w="2551"/>
          </w:tcPr>
          <w:p>
            <w:r>
              <w:t>25</w:t>
            </w:r>
          </w:p>
        </w:tc>
        <w:tc>
          <w:tcPr>
            <w:tcW w:type="dxa" w:w="2551"/>
          </w:tcPr>
          <w:p>
            <w:r>
              <w:t>25</w:t>
            </w:r>
          </w:p>
        </w:tc>
        <w:tc>
          <w:tcPr>
            <w:tcW w:type="dxa" w:w="2551"/>
          </w:tcPr>
          <w:p>
            <w:r>
              <w:t>25</w:t>
            </w:r>
          </w:p>
        </w:tc>
      </w:tr>
      <w:tr>
        <w:tc>
          <w:tcPr>
            <w:tcW w:type="dxa" w:w="2551"/>
          </w:tcPr>
          <w:p>
            <w:r>
              <w:t>Required financing (notes payable)</w:t>
            </w:r>
          </w:p>
        </w:tc>
        <w:tc>
          <w:tcPr>
            <w:tcW w:type="dxa" w:w="2551"/>
          </w:tcPr>
          <w:p>
            <w:r>
              <w:t>—</w:t>
            </w:r>
          </w:p>
        </w:tc>
        <w:tc>
          <w:tcPr>
            <w:tcW w:type="dxa" w:w="2551"/>
          </w:tcPr>
          <w:p>
            <w:r>
              <w:t>76</w:t>
            </w:r>
          </w:p>
        </w:tc>
        <w:tc>
          <w:tcPr>
            <w:tcW w:type="dxa" w:w="2551"/>
          </w:tcPr>
          <w:p>
            <w:r>
              <w:t>41</w:t>
            </w:r>
          </w:p>
        </w:tc>
      </w:tr>
      <w:tr>
        <w:tc>
          <w:tcPr>
            <w:tcW w:type="dxa" w:w="2551"/>
          </w:tcPr>
          <w:p>
            <w:r>
              <w:t>Excess cash (marketable securities)</w:t>
            </w:r>
          </w:p>
        </w:tc>
        <w:tc>
          <w:tcPr>
            <w:tcW w:type="dxa" w:w="2551"/>
          </w:tcPr>
          <w:p>
            <w:r>
              <w:t>22</w:t>
            </w:r>
          </w:p>
        </w:tc>
        <w:tc>
          <w:tcPr>
            <w:tcW w:type="dxa" w:w="2551"/>
          </w:tcPr>
          <w:p>
            <w:r>
              <w:t>—</w:t>
            </w:r>
          </w:p>
        </w:tc>
        <w:tc>
          <w:tcPr>
            <w:tcW w:type="dxa" w:w="2551"/>
          </w:tcPr>
          <w:p>
            <w:r>
              <w:t>—</w:t>
            </w:r>
          </w:p>
        </w:tc>
      </w:tr>
    </w:tbl>
    <w:p/>
    <w:p>
      <w:r>
        <w:rPr>
          <w:b/>
          <w:i w:val="0"/>
          <w:color w:val="8A6D1A"/>
        </w:rPr>
        <w:t>Example — Q1 2025 (beginning cash 50, minimum 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</w:p>
        </w:tc>
        <w:tc>
          <w:tcPr>
            <w:tcW w:type="dxa" w:w="2551"/>
          </w:tcPr>
          <w:p>
            <w:r>
              <w:rPr>
                <w:b/>
              </w:rPr>
              <w:t>Jan</w:t>
            </w:r>
          </w:p>
        </w:tc>
        <w:tc>
          <w:tcPr>
            <w:tcW w:type="dxa" w:w="2551"/>
          </w:tcPr>
          <w:p>
            <w:r>
              <w:rPr>
                <w:b/>
              </w:rPr>
              <w:t>Feb</w:t>
            </w:r>
          </w:p>
        </w:tc>
        <w:tc>
          <w:tcPr>
            <w:tcW w:type="dxa" w:w="2551"/>
          </w:tcPr>
          <w:p>
            <w:r>
              <w:rPr>
                <w:b/>
              </w:rPr>
              <w:t>Mar</w:t>
            </w:r>
          </w:p>
        </w:tc>
      </w:tr>
      <w:tr>
        <w:tc>
          <w:tcPr>
            <w:tcW w:type="dxa" w:w="2551"/>
          </w:tcPr>
          <w:p>
            <w:r>
              <w:t>Receipts − Disbursements</w:t>
            </w:r>
          </w:p>
        </w:tc>
        <w:tc>
          <w:tcPr>
            <w:tcW w:type="dxa" w:w="2551"/>
          </w:tcPr>
          <w:p>
            <w:r>
              <w:t>420−426</w:t>
            </w:r>
          </w:p>
        </w:tc>
        <w:tc>
          <w:tcPr>
            <w:tcW w:type="dxa" w:w="2551"/>
          </w:tcPr>
          <w:p>
            <w:r>
              <w:t>640−836</w:t>
            </w:r>
          </w:p>
        </w:tc>
        <w:tc>
          <w:tcPr>
            <w:tcW w:type="dxa" w:w="2551"/>
          </w:tcPr>
          <w:p>
            <w:r>
              <w:t>680−610</w:t>
            </w:r>
          </w:p>
        </w:tc>
      </w:tr>
      <w:tr>
        <w:tc>
          <w:tcPr>
            <w:tcW w:type="dxa" w:w="2551"/>
          </w:tcPr>
          <w:p>
            <w:r>
              <w:t>= Net cash flow</w:t>
            </w:r>
          </w:p>
        </w:tc>
        <w:tc>
          <w:tcPr>
            <w:tcW w:type="dxa" w:w="2551"/>
          </w:tcPr>
          <w:p>
            <w:r>
              <w:t>(6)</w:t>
            </w:r>
          </w:p>
        </w:tc>
        <w:tc>
          <w:tcPr>
            <w:tcW w:type="dxa" w:w="2551"/>
          </w:tcPr>
          <w:p>
            <w:r>
              <w:t>(196)</w:t>
            </w:r>
          </w:p>
        </w:tc>
        <w:tc>
          <w:tcPr>
            <w:tcW w:type="dxa" w:w="2551"/>
          </w:tcPr>
          <w:p>
            <w:r>
              <w:t>70</w:t>
            </w:r>
          </w:p>
        </w:tc>
      </w:tr>
      <w:tr>
        <w:tc>
          <w:tcPr>
            <w:tcW w:type="dxa" w:w="2551"/>
          </w:tcPr>
          <w:p>
            <w:r>
              <w:t>+ Beginning cash</w:t>
            </w:r>
          </w:p>
        </w:tc>
        <w:tc>
          <w:tcPr>
            <w:tcW w:type="dxa" w:w="2551"/>
          </w:tcPr>
          <w:p>
            <w:r>
              <w:t>50</w:t>
            </w:r>
          </w:p>
        </w:tc>
        <w:tc>
          <w:tcPr>
            <w:tcW w:type="dxa" w:w="2551"/>
          </w:tcPr>
          <w:p>
            <w:r>
              <w:t>44</w:t>
            </w:r>
          </w:p>
        </w:tc>
        <w:tc>
          <w:tcPr>
            <w:tcW w:type="dxa" w:w="2551"/>
          </w:tcPr>
          <w:p>
            <w:r>
              <w:t>(152)</w:t>
            </w:r>
          </w:p>
        </w:tc>
      </w:tr>
      <w:tr>
        <w:tc>
          <w:tcPr>
            <w:tcW w:type="dxa" w:w="2551"/>
          </w:tcPr>
          <w:p>
            <w:r>
              <w:t>= Ending cash</w:t>
            </w:r>
          </w:p>
        </w:tc>
        <w:tc>
          <w:tcPr>
            <w:tcW w:type="dxa" w:w="2551"/>
          </w:tcPr>
          <w:p>
            <w:r>
              <w:t>44</w:t>
            </w:r>
          </w:p>
        </w:tc>
        <w:tc>
          <w:tcPr>
            <w:tcW w:type="dxa" w:w="2551"/>
          </w:tcPr>
          <w:p>
            <w:r>
              <w:t>(152)</w:t>
            </w:r>
          </w:p>
        </w:tc>
        <w:tc>
          <w:tcPr>
            <w:tcW w:type="dxa" w:w="2551"/>
          </w:tcPr>
          <w:p>
            <w:r>
              <w:t>(82)</w:t>
            </w:r>
          </w:p>
        </w:tc>
      </w:tr>
      <w:tr>
        <w:tc>
          <w:tcPr>
            <w:tcW w:type="dxa" w:w="2551"/>
          </w:tcPr>
          <w:p>
            <w:r>
              <w:t>Required financing / Excess</w:t>
            </w:r>
          </w:p>
        </w:tc>
        <w:tc>
          <w:tcPr>
            <w:tcW w:type="dxa" w:w="2551"/>
          </w:tcPr>
          <w:p>
            <w:r>
              <w:t>excess 19</w:t>
            </w:r>
          </w:p>
        </w:tc>
        <w:tc>
          <w:tcPr>
            <w:tcW w:type="dxa" w:w="2551"/>
          </w:tcPr>
          <w:p>
            <w:r>
              <w:t>fin. 177</w:t>
            </w:r>
          </w:p>
        </w:tc>
        <w:tc>
          <w:tcPr>
            <w:tcW w:type="dxa" w:w="2551"/>
          </w:tcPr>
          <w:p>
            <w:r>
              <w:t>fin. 107</w:t>
            </w:r>
          </w:p>
        </w:tc>
      </w:tr>
    </w:tbl>
    <w:p/>
    <w:p>
      <w:pPr>
        <w:pStyle w:val="Heading1"/>
        <w:keepNext/>
        <w:pageBreakBefore/>
      </w:pPr>
      <w:r>
        <w:t>4 · Financial Statement Analysis Lec 4-P2 · Lec 5</w:t>
      </w:r>
    </w:p>
    <w:p>
      <w:pPr>
        <w:pStyle w:val="Heading2"/>
        <w:keepNext/>
      </w:pPr>
      <w:r>
        <w:t>Common-size analysis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Common-size % = </w:t>
      </w:r>
      <w:r>
        <w:rPr>
          <w:rFonts w:ascii="Cambria" w:hAnsi="Cambria"/>
          <w:b w:val="0"/>
          <w:i w:val="0"/>
          <w:sz w:val="22"/>
        </w:rPr>
        <w:t xml:space="preserve"> (Comparison amount) / (Base amount) </w:t>
      </w:r>
      <w:r>
        <w:rPr>
          <w:rFonts w:ascii="Cambria" w:hAnsi="Cambria"/>
          <w:b w:val="0"/>
          <w:i w:val="0"/>
          <w:sz w:val="22"/>
        </w:rPr>
        <w:t xml:space="preserve"> × 100</w:t>
      </w:r>
    </w:p>
    <w:p>
      <w:r>
        <w:rPr>
          <w:b w:val="0"/>
          <w:i w:val="0"/>
        </w:rPr>
        <w:t>Base = total revenues (income statement) or total assets (balance sheet). E.g. COGS 98,432/218,739 = 45%; Equity/TA 344,373/365,389 = 94.2%.</w:t>
      </w:r>
    </w:p>
    <w:p>
      <w:pPr>
        <w:pStyle w:val="Heading2"/>
        <w:keepNext/>
      </w:pPr>
      <w:r>
        <w:t>Trend (horizontal) analysis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% Change = </w:t>
      </w:r>
      <w:r>
        <w:rPr>
          <w:rFonts w:ascii="Cambria" w:hAnsi="Cambria"/>
          <w:b w:val="0"/>
          <w:i w:val="0"/>
          <w:sz w:val="22"/>
        </w:rPr>
        <w:t xml:space="preserve"> (Dollar change) / (Base-year amount) </w:t>
      </w:r>
      <w:r>
        <w:rPr>
          <w:rFonts w:ascii="Cambria" w:hAnsi="Cambria"/>
          <w:b w:val="0"/>
          <w:i w:val="0"/>
          <w:sz w:val="22"/>
        </w:rPr>
        <w:t xml:space="preserve"> × 100,   Dollar change = Analysis year − Base year</w:t>
      </w:r>
    </w:p>
    <w:p>
      <w:r>
        <w:rPr>
          <w:b w:val="0"/>
          <w:i w:val="0"/>
        </w:rPr>
        <w:t>E.g. Cash (261,248−224,399)/224,399 = 16.4%; NI (25−15)/15 = 66.6%; RE (67−65)/65 = 3.07%.</w:t>
      </w:r>
    </w:p>
    <w:p>
      <w:pPr>
        <w:pStyle w:val="Heading2"/>
        <w:keepNext/>
      </w:pPr>
      <w:r>
        <w:t>Ratio toolkit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551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551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551"/>
          </w:tcPr>
          <w:p>
            <w:r>
              <w:rPr>
                <w:b/>
              </w:rPr>
              <w:t>Read / rule</w:t>
            </w:r>
          </w:p>
        </w:tc>
      </w:tr>
      <w:tr>
        <w:tc>
          <w:tcPr>
            <w:tcW w:type="dxa" w:w="2551"/>
          </w:tcPr>
          <w:p>
            <w:r>
              <w:t>Liquidity</w:t>
            </w:r>
          </w:p>
        </w:tc>
        <w:tc>
          <w:tcPr>
            <w:tcW w:type="dxa" w:w="2551"/>
          </w:tcPr>
          <w:p>
            <w:r>
              <w:t>Current ratio</w:t>
            </w:r>
          </w:p>
        </w:tc>
        <w:tc>
          <w:tcPr>
            <w:tcW w:type="dxa" w:w="2551"/>
          </w:tcPr>
          <w:p>
            <w:r>
              <w:t>CA / CL</w:t>
            </w:r>
          </w:p>
        </w:tc>
        <w:tc>
          <w:tcPr>
            <w:tcW w:type="dxa" w:w="2551"/>
          </w:tcPr>
          <w:p>
            <w:r>
              <w:t>≥ 1 → covers short-term liabilities</w:t>
            </w:r>
          </w:p>
        </w:tc>
      </w:tr>
      <w:tr>
        <w:tc>
          <w:tcPr>
            <w:tcW w:type="dxa" w:w="2551"/>
          </w:tcPr>
          <w:p>
            <w:r>
              <w:t>Quick (acid-test)</w:t>
            </w:r>
          </w:p>
        </w:tc>
        <w:tc>
          <w:tcPr>
            <w:tcW w:type="dxa" w:w="2551"/>
          </w:tcPr>
          <w:p>
            <w:r>
              <w:t>(Cash + ST investments + A/R) / CL</w:t>
            </w:r>
          </w:p>
        </w:tc>
        <w:tc>
          <w:tcPr>
            <w:tcW w:type="dxa" w:w="2551"/>
          </w:tcPr>
          <w:p>
            <w:r>
              <w:t>≥ 1 → covers CL without selling inventory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Cash ratio</w:t>
            </w:r>
          </w:p>
        </w:tc>
        <w:tc>
          <w:tcPr>
            <w:tcW w:type="dxa" w:w="2551"/>
          </w:tcPr>
          <w:p>
            <w:r>
              <w:t>Cash (&amp; equivalents) / CL</w:t>
            </w:r>
          </w:p>
        </w:tc>
        <w:tc>
          <w:tcPr>
            <w:tcW w:type="dxa" w:w="2551"/>
          </w:tcPr>
          <w:p>
            <w:r>
              <w:t>Higher = stronger position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Efficiency</w:t>
            </w:r>
          </w:p>
        </w:tc>
        <w:tc>
          <w:tcPr>
            <w:tcW w:type="dxa" w:w="2551"/>
          </w:tcPr>
          <w:p>
            <w:r>
              <w:t>A/R turnover</w:t>
            </w:r>
          </w:p>
        </w:tc>
        <w:tc>
          <w:tcPr>
            <w:tcW w:type="dxa" w:w="2551"/>
          </w:tcPr>
          <w:p>
            <w:r>
              <w:t>Net credit sales / Avg net A/R</w:t>
            </w:r>
          </w:p>
        </w:tc>
        <w:tc>
          <w:tcPr>
            <w:tcW w:type="dxa" w:w="2551"/>
          </w:tcPr>
          <w:p>
            <w:r>
              <w:t>Higher = collects debts efficiently</w:t>
            </w:r>
          </w:p>
        </w:tc>
      </w:tr>
      <w:tr>
        <w:tc>
          <w:tcPr>
            <w:tcW w:type="dxa" w:w="2551"/>
          </w:tcPr>
          <w:p>
            <w:r>
              <w:t>Inventory turnover</w:t>
            </w:r>
          </w:p>
        </w:tc>
        <w:tc>
          <w:tcPr>
            <w:tcW w:type="dxa" w:w="2551"/>
          </w:tcPr>
          <w:p>
            <w:r>
              <w:t>COGS / Avg inventory</w:t>
            </w:r>
          </w:p>
        </w:tc>
        <w:tc>
          <w:tcPr>
            <w:tcW w:type="dxa" w:w="2551"/>
          </w:tcPr>
          <w:p>
            <w:r>
              <w:t>Higher = efficient inventory management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Solvency</w:t>
            </w:r>
          </w:p>
        </w:tc>
        <w:tc>
          <w:tcPr>
            <w:tcW w:type="dxa" w:w="2551"/>
          </w:tcPr>
          <w:p>
            <w:r>
              <w:t>Debt to assets</w:t>
            </w:r>
          </w:p>
        </w:tc>
        <w:tc>
          <w:tcPr>
            <w:tcW w:type="dxa" w:w="2551"/>
          </w:tcPr>
          <w:p>
            <w:r>
              <w:t>Total debt / Total assets</w:t>
            </w:r>
          </w:p>
        </w:tc>
        <w:tc>
          <w:tcPr>
            <w:tcW w:type="dxa" w:w="2551"/>
          </w:tcPr>
          <w:p>
            <w:r>
              <w:t>Long-term survival; lower = safer</w:t>
            </w:r>
          </w:p>
        </w:tc>
      </w:tr>
      <w:tr>
        <w:tc>
          <w:tcPr>
            <w:tcW w:type="dxa" w:w="2551"/>
          </w:tcPr>
          <w:p>
            <w:r>
              <w:t>Times interest earned</w:t>
            </w:r>
          </w:p>
        </w:tc>
        <w:tc>
          <w:tcPr>
            <w:tcW w:type="dxa" w:w="2551"/>
          </w:tcPr>
          <w:p>
            <w:r>
              <w:t>EBIT / Interest expense</w:t>
            </w:r>
          </w:p>
        </w:tc>
        <w:tc>
          <w:tcPr>
            <w:tcW w:type="dxa" w:w="2551"/>
          </w:tcPr>
          <w:p>
            <w:r>
              <w:t>Ability to meet interest payments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Profitability</w:t>
            </w:r>
          </w:p>
        </w:tc>
        <w:tc>
          <w:tcPr>
            <w:tcW w:type="dxa" w:w="2551"/>
          </w:tcPr>
          <w:p>
            <w:r>
              <w:t>Profit margin</w:t>
            </w:r>
          </w:p>
        </w:tc>
        <w:tc>
          <w:tcPr>
            <w:tcW w:type="dxa" w:w="2551"/>
          </w:tcPr>
          <w:p>
            <w:r>
              <w:t>Net income / Net sales</w:t>
            </w:r>
          </w:p>
        </w:tc>
        <w:tc>
          <w:tcPr>
            <w:tcW w:type="dxa" w:w="2551"/>
          </w:tcPr>
          <w:p>
            <w:r>
              <w:t>Net income per $1 of sales</w:t>
            </w:r>
          </w:p>
        </w:tc>
      </w:tr>
      <w:tr>
        <w:tc>
          <w:tcPr>
            <w:tcW w:type="dxa" w:w="2551"/>
          </w:tcPr>
          <w:p>
            <w:r>
              <w:t>Asset turnover</w:t>
            </w:r>
          </w:p>
        </w:tc>
        <w:tc>
          <w:tcPr>
            <w:tcW w:type="dxa" w:w="2551"/>
          </w:tcPr>
          <w:p>
            <w:r>
              <w:t>Net sales / Avg total assets</w:t>
            </w:r>
          </w:p>
        </w:tc>
        <w:tc>
          <w:tcPr>
            <w:tcW w:type="dxa" w:w="2551"/>
          </w:tcPr>
          <w:p>
            <w:r>
              <w:t>Revenue per $1 of assets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Return on assets</w:t>
            </w:r>
          </w:p>
        </w:tc>
        <w:tc>
          <w:tcPr>
            <w:tcW w:type="dxa" w:w="2551"/>
          </w:tcPr>
          <w:p>
            <w:r>
              <w:t>Net income / Avg total assets</w:t>
            </w:r>
          </w:p>
        </w:tc>
        <w:tc>
          <w:tcPr>
            <w:tcW w:type="dxa" w:w="2551"/>
          </w:tcPr>
          <w:p>
            <w:r>
              <w:t>NI per $1 invested in assets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Return on equity</w:t>
            </w:r>
          </w:p>
        </w:tc>
        <w:tc>
          <w:tcPr>
            <w:tcW w:type="dxa" w:w="2551"/>
          </w:tcPr>
          <w:p>
            <w:r>
              <w:t>Net income / Avg equity</w:t>
            </w:r>
          </w:p>
        </w:tc>
        <w:tc>
          <w:tcPr>
            <w:tcW w:type="dxa" w:w="2551"/>
          </w:tcPr>
          <w:p>
            <w:r>
              <w:t>NI per $1 of equity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EPS</w:t>
            </w:r>
          </w:p>
        </w:tc>
        <w:tc>
          <w:tcPr>
            <w:tcW w:type="dxa" w:w="2551"/>
          </w:tcPr>
          <w:p>
            <w:r>
              <w:t>NI / Weighted-avg shares</w:t>
            </w:r>
          </w:p>
        </w:tc>
        <w:tc>
          <w:tcPr>
            <w:tcW w:type="dxa" w:w="2551"/>
          </w:tcPr>
          <w:p>
            <w:r>
              <w:t>—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t>P/E ratio</w:t>
            </w:r>
          </w:p>
        </w:tc>
        <w:tc>
          <w:tcPr>
            <w:tcW w:type="dxa" w:w="2551"/>
          </w:tcPr>
          <w:p>
            <w:r>
              <w:t>Market price per share / EPS</w:t>
            </w:r>
          </w:p>
        </w:tc>
        <w:tc>
          <w:tcPr>
            <w:tcW w:type="dxa" w:w="2551"/>
          </w:tcPr>
          <w:p>
            <w:r>
              <w:t>—</w:t>
            </w:r>
          </w:p>
        </w:tc>
        <w:tc>
          <w:tcPr>
            <w:tcW w:type="dxa" w:w="2551"/>
          </w:tcPr>
          <w:p>
            <w:r/>
          </w:p>
        </w:tc>
      </w:tr>
    </w:tbl>
    <w:p/>
    <w:p>
      <w:r>
        <w:rPr>
          <w:b/>
          <w:i w:val="0"/>
          <w:color w:val="8A6D1A"/>
        </w:rPr>
        <w:t>Example — ABC Co. (all ratios)</w:t>
      </w:r>
    </w:p>
    <w:p>
      <w:pPr>
        <w:pStyle w:val="Heading1"/>
        <w:keepNext/>
        <w:pageBreakBefore/>
      </w:pPr>
      <w:r>
        <w:t>5 · Stock Valuation Lec 8</w:t>
      </w:r>
    </w:p>
    <w:p>
      <w:pPr>
        <w:pStyle w:val="Heading2"/>
        <w:keepNext/>
      </w:pPr>
      <w:r>
        <w:t>Expected return (dividends + capital gains)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E(r) = </w:t>
      </w:r>
      <w:r>
        <w:rPr>
          <w:rFonts w:ascii="Cambria" w:hAnsi="Cambria"/>
          <w:b w:val="0"/>
          <w:i w:val="0"/>
          <w:sz w:val="22"/>
        </w:rPr>
        <w:t xml:space="preserve"> D / P </w:t>
      </w:r>
      <w:r>
        <w:rPr>
          <w:rFonts w:ascii="Cambria" w:hAnsi="Cambria"/>
          <w:b w:val="0"/>
          <w:i w:val="0"/>
          <w:sz w:val="22"/>
        </w:rPr>
        <w:t xml:space="preserve"> + g</w:t>
      </w:r>
    </w:p>
    <w:p>
      <w:r>
        <w:rPr>
          <w:b w:val="0"/>
          <w:i w:val="0"/>
        </w:rPr>
        <w:t xml:space="preserve">D = dividend, P = price, g = growth. E.g. $1 dividend on $25 stock, g = 7% → 1/25 + 0.07 = </w:t>
      </w:r>
      <w:r>
        <w:rPr>
          <w:b/>
          <w:i w:val="0"/>
        </w:rPr>
        <w:t>11%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t>Zero-growth model (perpetuity; also preferred stock)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P</w:t>
      </w:r>
      <w:r>
        <w:rPr>
          <w:rFonts w:ascii="Cambria" w:hAnsi="Cambria"/>
          <w:b w:val="0"/>
          <w:i w:val="0"/>
          <w:sz w:val="22"/>
        </w:rPr>
        <w:t>0</w:t>
      </w:r>
      <w:r>
        <w:rPr>
          <w:rFonts w:ascii="Cambria" w:hAnsi="Cambria"/>
          <w:b w:val="0"/>
          <w:i w:val="0"/>
          <w:sz w:val="22"/>
        </w:rPr>
        <w:t xml:space="preserve"> = D</w:t>
      </w:r>
      <w:r>
        <w:rPr>
          <w:rFonts w:ascii="Cambria" w:hAnsi="Cambria"/>
          <w:b w:val="0"/>
          <w:i w:val="0"/>
          <w:sz w:val="22"/>
        </w:rPr>
        <w:t>1</w:t>
      </w:r>
      <w:r>
        <w:rPr>
          <w:rFonts w:ascii="Cambria" w:hAnsi="Cambria"/>
          <w:b w:val="0"/>
          <w:i w:val="0"/>
          <w:sz w:val="22"/>
        </w:rPr>
        <w:t xml:space="preserve"> × </w:t>
      </w:r>
      <w:r>
        <w:rPr>
          <w:rFonts w:ascii="Cambria" w:hAnsi="Cambria"/>
          <w:b w:val="0"/>
          <w:i w:val="0"/>
          <w:sz w:val="22"/>
        </w:rPr>
        <w:t xml:space="preserve"> 1 / rs </w:t>
      </w:r>
      <w:r>
        <w:rPr>
          <w:rFonts w:ascii="Cambria" w:hAnsi="Cambria"/>
          <w:b w:val="0"/>
          <w:i w:val="0"/>
          <w:sz w:val="22"/>
        </w:rPr>
        <w:t xml:space="preserve"> = </w:t>
      </w:r>
      <w:r>
        <w:rPr>
          <w:rFonts w:ascii="Cambria" w:hAnsi="Cambria"/>
          <w:b w:val="0"/>
          <w:i w:val="0"/>
          <w:sz w:val="22"/>
        </w:rPr>
        <w:t xml:space="preserve"> D1 / rs </w:t>
      </w:r>
    </w:p>
    <w:p>
      <w:r>
        <w:rPr>
          <w:b/>
          <w:i w:val="0"/>
          <w:color w:val="8A6D1A"/>
        </w:rPr>
        <w:t>Examples</w:t>
      </w:r>
    </w:p>
    <w:p>
      <w:pPr>
        <w:pStyle w:val="Heading2"/>
        <w:keepNext/>
      </w:pPr>
      <w:r>
        <w:t>Constant-growth model (Gordon) ★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P</w:t>
      </w:r>
      <w:r>
        <w:rPr>
          <w:rFonts w:ascii="Cambria" w:hAnsi="Cambria"/>
          <w:b w:val="0"/>
          <w:i w:val="0"/>
          <w:sz w:val="22"/>
        </w:rPr>
        <w:t>0</w:t>
      </w:r>
      <w:r>
        <w:rPr>
          <w:rFonts w:ascii="Cambria" w:hAnsi="Cambria"/>
          <w:b w:val="0"/>
          <w:i w:val="0"/>
          <w:sz w:val="22"/>
        </w:rPr>
        <w:t xml:space="preserve"> = </w:t>
      </w:r>
      <w:r>
        <w:rPr>
          <w:rFonts w:ascii="Cambria" w:hAnsi="Cambria"/>
          <w:b w:val="0"/>
          <w:i w:val="0"/>
          <w:sz w:val="22"/>
        </w:rPr>
        <w:t xml:space="preserve"> D1 / (rs − g) </w:t>
      </w:r>
      <w:r>
        <w:rPr>
          <w:rFonts w:ascii="Cambria" w:hAnsi="Cambria"/>
          <w:b w:val="0"/>
          <w:i w:val="0"/>
          <w:sz w:val="22"/>
        </w:rPr>
        <w:t>,   D</w:t>
      </w:r>
      <w:r>
        <w:rPr>
          <w:rFonts w:ascii="Cambria" w:hAnsi="Cambria"/>
          <w:b w:val="0"/>
          <w:i w:val="0"/>
          <w:sz w:val="22"/>
        </w:rPr>
        <w:t>1</w:t>
      </w:r>
      <w:r>
        <w:rPr>
          <w:rFonts w:ascii="Cambria" w:hAnsi="Cambria"/>
          <w:b w:val="0"/>
          <w:i w:val="0"/>
          <w:sz w:val="22"/>
        </w:rPr>
        <w:t xml:space="preserve"> = D</w:t>
      </w:r>
      <w:r>
        <w:rPr>
          <w:rFonts w:ascii="Cambria" w:hAnsi="Cambria"/>
          <w:b w:val="0"/>
          <w:i w:val="0"/>
          <w:sz w:val="22"/>
        </w:rPr>
        <w:t>0</w:t>
      </w:r>
      <w:r>
        <w:rPr>
          <w:rFonts w:ascii="Cambria" w:hAnsi="Cambria"/>
          <w:b w:val="0"/>
          <w:i w:val="0"/>
          <w:sz w:val="22"/>
        </w:rPr>
        <w:t>(1 + g)</w:t>
      </w:r>
    </w:p>
    <w:p>
      <w:r>
        <w:rPr>
          <w:b/>
          <w:i w:val="0"/>
          <w:color w:val="8A6D1A"/>
        </w:rPr>
        <w:t>Examples</w:t>
      </w:r>
    </w:p>
    <w:p>
      <w:r>
        <w:rPr>
          <w:b w:val="0"/>
          <w:i w:val="0"/>
        </w:rPr>
        <w:t>Buy if value &gt; price (undervalued)</w:t>
      </w:r>
      <w:r>
        <w:rPr>
          <w:b w:val="0"/>
          <w:i w:val="0"/>
        </w:rPr>
        <w:t>Sell/avoid if value &lt; price (overvalued)</w:t>
      </w:r>
    </w:p>
    <w:p>
      <w:pPr>
        <w:pStyle w:val="Heading2"/>
        <w:keepNext/>
      </w:pPr>
      <w:r>
        <w:t>Must-know terms</w:t>
      </w:r>
    </w:p>
    <w:p>
      <w:pPr>
        <w:pStyle w:val="ListBullet"/>
      </w:pPr>
      <w:r>
        <w:rPr>
          <w:b/>
          <w:i w:val="0"/>
        </w:rPr>
        <w:t>Common stock:</w:t>
      </w:r>
      <w:r>
        <w:rPr>
          <w:b w:val="0"/>
          <w:i w:val="0"/>
        </w:rPr>
        <w:t xml:space="preserve"> residual claimants; voting rights; returns = dividends + capital gains.</w:t>
      </w:r>
    </w:p>
    <w:p>
      <w:pPr>
        <w:pStyle w:val="ListBullet"/>
      </w:pPr>
      <w:r>
        <w:rPr>
          <w:b/>
          <w:i w:val="0"/>
        </w:rPr>
        <w:t>Share types:</w:t>
      </w:r>
      <w:r>
        <w:rPr>
          <w:b w:val="0"/>
          <w:i w:val="0"/>
        </w:rPr>
        <w:t xml:space="preserve"> authorized · issued · outstanding · treasury; par vs no-par.</w:t>
      </w:r>
    </w:p>
    <w:p>
      <w:pPr>
        <w:pStyle w:val="ListBullet"/>
      </w:pPr>
      <w:r>
        <w:rPr>
          <w:b/>
          <w:i w:val="0"/>
        </w:rPr>
        <w:t>IPO:</w:t>
      </w:r>
      <w:r>
        <w:rPr>
          <w:b w:val="0"/>
          <w:i w:val="0"/>
        </w:rPr>
        <w:t xml:space="preserve"> needs shareholder approval + investment bank underwriting (bank buys issue at agreed price, bears selling risk).</w:t>
      </w:r>
    </w:p>
    <w:p>
      <w:pPr>
        <w:pStyle w:val="ListBullet"/>
      </w:pPr>
      <w:r>
        <w:rPr>
          <w:b/>
          <w:i w:val="0"/>
        </w:rPr>
        <w:t>Preferred stock:</w:t>
      </w:r>
      <w:r>
        <w:rPr>
          <w:b w:val="0"/>
          <w:i w:val="0"/>
        </w:rPr>
        <w:t xml:space="preserve"> fixed dividend, prior claim, </w:t>
      </w:r>
      <w:r>
        <w:rPr>
          <w:b/>
          <w:i w:val="0"/>
        </w:rPr>
        <w:t>cumulative</w:t>
      </w:r>
      <w:r>
        <w:rPr>
          <w:b w:val="0"/>
          <w:i w:val="0"/>
        </w:rPr>
        <w:t xml:space="preserve"> (arrears), paid before common; hybrid of bond &amp; stock.</w:t>
      </w:r>
    </w:p>
    <w:p>
      <w:pPr>
        <w:pStyle w:val="Heading1"/>
        <w:keepNext/>
        <w:pageBreakBefore/>
      </w:pPr>
      <w:r>
        <w:t>6 · Risk, Return, Portfolio &amp; CAPM Lec 8 · Lec 9</w:t>
      </w:r>
    </w:p>
    <w:p>
      <w:pPr>
        <w:pStyle w:val="Heading2"/>
        <w:keepNext/>
      </w:pPr>
      <w:r>
        <w:t>Individual asset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E(R) = Σ P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 xml:space="preserve"> R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 xml:space="preserve">   |   σ² = Σ P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>(R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 xml:space="preserve"> − E(R))²   |   σ = √σ²</w:t>
      </w:r>
    </w:p>
    <w:p>
      <w:r>
        <w:rPr>
          <w:b/>
          <w:i w:val="0"/>
          <w:color w:val="8A6D1A"/>
        </w:rPr>
        <w:t>Example — states of nature (P: recession .2, normal .5, boom .3)</w:t>
      </w:r>
    </w:p>
    <w:p>
      <w:pPr>
        <w:pStyle w:val="Heading2"/>
        <w:keepNext/>
      </w:pPr>
      <w:r>
        <w:t>Portfolio return &amp; weights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w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 xml:space="preserve"> = </w:t>
      </w:r>
      <w:r>
        <w:rPr>
          <w:rFonts w:ascii="Cambria" w:hAnsi="Cambria"/>
          <w:b w:val="0"/>
          <w:i w:val="0"/>
          <w:sz w:val="22"/>
        </w:rPr>
        <w:t xml:space="preserve"> Investmenti / (Total portfolio) </w:t>
      </w:r>
      <w:r>
        <w:rPr>
          <w:rFonts w:ascii="Cambria" w:hAnsi="Cambria"/>
          <w:b w:val="0"/>
          <w:i w:val="0"/>
          <w:sz w:val="22"/>
        </w:rPr>
        <w:t xml:space="preserve"> (Σw = 1)   |   E(R</w:t>
      </w:r>
      <w:r>
        <w:rPr>
          <w:rFonts w:ascii="Cambria" w:hAnsi="Cambria"/>
          <w:b w:val="0"/>
          <w:i w:val="0"/>
          <w:sz w:val="22"/>
        </w:rPr>
        <w:t>p</w:t>
      </w:r>
      <w:r>
        <w:rPr>
          <w:rFonts w:ascii="Cambria" w:hAnsi="Cambria"/>
          <w:b w:val="0"/>
          <w:i w:val="0"/>
          <w:sz w:val="22"/>
        </w:rPr>
        <w:t>) = Σ w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 xml:space="preserve"> E(R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>)</w:t>
      </w:r>
    </w:p>
    <w:p>
      <w:r>
        <w:rPr>
          <w:b/>
          <w:i w:val="0"/>
          <w:color w:val="8A6D1A"/>
        </w:rPr>
        <w:t>Examples</w:t>
      </w:r>
    </w:p>
    <w:p>
      <w:pPr>
        <w:pStyle w:val="Heading2"/>
        <w:keepNext/>
      </w:pPr>
      <w:r>
        <w:t>Two-asset portfolio standard deviation ★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σ</w:t>
      </w:r>
      <w:r>
        <w:rPr>
          <w:rFonts w:ascii="Cambria" w:hAnsi="Cambria"/>
          <w:b w:val="0"/>
          <w:i w:val="0"/>
          <w:sz w:val="22"/>
        </w:rPr>
        <w:t>p</w:t>
      </w:r>
      <w:r>
        <w:rPr>
          <w:rFonts w:ascii="Cambria" w:hAnsi="Cambria"/>
          <w:b w:val="0"/>
          <w:i w:val="0"/>
          <w:sz w:val="22"/>
        </w:rPr>
        <w:t xml:space="preserve"> = √( w</w:t>
      </w:r>
      <w:r>
        <w:rPr>
          <w:rFonts w:ascii="Cambria" w:hAnsi="Cambria"/>
          <w:b w:val="0"/>
          <w:i w:val="0"/>
          <w:sz w:val="22"/>
        </w:rPr>
        <w:t>1</w:t>
      </w:r>
      <w:r>
        <w:rPr>
          <w:rFonts w:ascii="Cambria" w:hAnsi="Cambria"/>
          <w:b w:val="0"/>
          <w:i w:val="0"/>
          <w:sz w:val="22"/>
        </w:rPr>
        <w:t>²σ</w:t>
      </w:r>
      <w:r>
        <w:rPr>
          <w:rFonts w:ascii="Cambria" w:hAnsi="Cambria"/>
          <w:b w:val="0"/>
          <w:i w:val="0"/>
          <w:sz w:val="22"/>
        </w:rPr>
        <w:t>1</w:t>
      </w:r>
      <w:r>
        <w:rPr>
          <w:rFonts w:ascii="Cambria" w:hAnsi="Cambria"/>
          <w:b w:val="0"/>
          <w:i w:val="0"/>
          <w:sz w:val="22"/>
        </w:rPr>
        <w:t>² + w</w:t>
      </w:r>
      <w:r>
        <w:rPr>
          <w:rFonts w:ascii="Cambria" w:hAnsi="Cambria"/>
          <w:b w:val="0"/>
          <w:i w:val="0"/>
          <w:sz w:val="22"/>
        </w:rPr>
        <w:t>2</w:t>
      </w:r>
      <w:r>
        <w:rPr>
          <w:rFonts w:ascii="Cambria" w:hAnsi="Cambria"/>
          <w:b w:val="0"/>
          <w:i w:val="0"/>
          <w:sz w:val="22"/>
        </w:rPr>
        <w:t>²σ</w:t>
      </w:r>
      <w:r>
        <w:rPr>
          <w:rFonts w:ascii="Cambria" w:hAnsi="Cambria"/>
          <w:b w:val="0"/>
          <w:i w:val="0"/>
          <w:sz w:val="22"/>
        </w:rPr>
        <w:t>2</w:t>
      </w:r>
      <w:r>
        <w:rPr>
          <w:rFonts w:ascii="Cambria" w:hAnsi="Cambria"/>
          <w:b w:val="0"/>
          <w:i w:val="0"/>
          <w:sz w:val="22"/>
        </w:rPr>
        <w:t>² + 2 w</w:t>
      </w:r>
      <w:r>
        <w:rPr>
          <w:rFonts w:ascii="Cambria" w:hAnsi="Cambria"/>
          <w:b w:val="0"/>
          <w:i w:val="0"/>
          <w:sz w:val="22"/>
        </w:rPr>
        <w:t>1</w:t>
      </w:r>
      <w:r>
        <w:rPr>
          <w:rFonts w:ascii="Cambria" w:hAnsi="Cambria"/>
          <w:b w:val="0"/>
          <w:i w:val="0"/>
          <w:sz w:val="22"/>
        </w:rPr>
        <w:t>w</w:t>
      </w:r>
      <w:r>
        <w:rPr>
          <w:rFonts w:ascii="Cambria" w:hAnsi="Cambria"/>
          <w:b w:val="0"/>
          <w:i w:val="0"/>
          <w:sz w:val="22"/>
        </w:rPr>
        <w:t>2</w:t>
      </w:r>
      <w:r>
        <w:rPr>
          <w:rFonts w:ascii="Cambria" w:hAnsi="Cambria"/>
          <w:b w:val="0"/>
          <w:i w:val="0"/>
          <w:sz w:val="22"/>
        </w:rPr>
        <w:t xml:space="preserve"> ρ</w:t>
      </w:r>
      <w:r>
        <w:rPr>
          <w:rFonts w:ascii="Cambria" w:hAnsi="Cambria"/>
          <w:b w:val="0"/>
          <w:i w:val="0"/>
          <w:sz w:val="22"/>
        </w:rPr>
        <w:t>1,2</w:t>
      </w:r>
      <w:r>
        <w:rPr>
          <w:rFonts w:ascii="Cambria" w:hAnsi="Cambria"/>
          <w:b w:val="0"/>
          <w:i w:val="0"/>
          <w:sz w:val="22"/>
        </w:rPr>
        <w:t xml:space="preserve"> σ</w:t>
      </w:r>
      <w:r>
        <w:rPr>
          <w:rFonts w:ascii="Cambria" w:hAnsi="Cambria"/>
          <w:b w:val="0"/>
          <w:i w:val="0"/>
          <w:sz w:val="22"/>
        </w:rPr>
        <w:t>1</w:t>
      </w:r>
      <w:r>
        <w:rPr>
          <w:rFonts w:ascii="Cambria" w:hAnsi="Cambria"/>
          <w:b w:val="0"/>
          <w:i w:val="0"/>
          <w:sz w:val="22"/>
        </w:rPr>
        <w:t>σ</w:t>
      </w:r>
      <w:r>
        <w:rPr>
          <w:rFonts w:ascii="Cambria" w:hAnsi="Cambria"/>
          <w:b w:val="0"/>
          <w:i w:val="0"/>
          <w:sz w:val="22"/>
        </w:rPr>
        <w:t>2</w:t>
      </w:r>
      <w:r>
        <w:rPr>
          <w:rFonts w:ascii="Cambria" w:hAnsi="Cambria"/>
          <w:b w:val="0"/>
          <w:i w:val="0"/>
          <w:sz w:val="22"/>
        </w:rPr>
        <w:t xml:space="preserve"> )</w:t>
      </w:r>
    </w:p>
    <w:p>
      <w:r>
        <w:rPr>
          <w:b/>
          <w:i w:val="0"/>
          <w:color w:val="8A6D1A"/>
        </w:rPr>
        <w:t>Example — w .5/.5, σ .2/.2, ρ = +0.75</w:t>
      </w:r>
    </w:p>
    <w:p>
      <w:pPr>
        <w:pStyle w:val="Heading2"/>
        <w:keepNext/>
      </w:pPr>
      <w:r>
        <w:t>Types of risk</w:t>
      </w:r>
    </w:p>
    <w:p>
      <w:pPr>
        <w:pStyle w:val="ListBullet"/>
      </w:pPr>
      <w:r>
        <w:rPr>
          <w:b/>
          <w:i w:val="0"/>
        </w:rPr>
        <w:t>Systematic</w:t>
      </w:r>
      <w:r>
        <w:rPr>
          <w:b w:val="0"/>
          <w:i w:val="0"/>
        </w:rPr>
        <w:t xml:space="preserve"> (market / non-diversifiable): GDP, inflation, interest rates — measured by β.</w:t>
      </w:r>
    </w:p>
    <w:p>
      <w:pPr>
        <w:pStyle w:val="ListBullet"/>
      </w:pPr>
      <w:r>
        <w:rPr>
          <w:b/>
          <w:i w:val="0"/>
        </w:rPr>
        <w:t>Unsystematic</w:t>
      </w:r>
      <w:r>
        <w:rPr>
          <w:b w:val="0"/>
          <w:i w:val="0"/>
        </w:rPr>
        <w:t xml:space="preserve"> (unique / asset-specific): strikes, part shortages — </w:t>
      </w:r>
      <w:r>
        <w:rPr>
          <w:b/>
          <w:i w:val="0"/>
        </w:rPr>
        <w:t>eliminated by diversification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Total risk</w:t>
      </w:r>
      <w:r>
        <w:rPr>
          <w:b w:val="0"/>
          <w:i w:val="0"/>
        </w:rPr>
        <w:t xml:space="preserve"> = σ; don't hold one asset or one industry.</w:t>
      </w:r>
    </w:p>
    <w:p>
      <w:pPr>
        <w:pStyle w:val="Heading2"/>
        <w:keepNext/>
      </w:pPr>
      <w:r>
        <w:t>Portfolio beta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β</w:t>
      </w:r>
      <w:r>
        <w:rPr>
          <w:rFonts w:ascii="Cambria" w:hAnsi="Cambria"/>
          <w:b w:val="0"/>
          <w:i w:val="0"/>
          <w:sz w:val="22"/>
        </w:rPr>
        <w:t>p</w:t>
      </w:r>
      <w:r>
        <w:rPr>
          <w:rFonts w:ascii="Cambria" w:hAnsi="Cambria"/>
          <w:b w:val="0"/>
          <w:i w:val="0"/>
          <w:sz w:val="22"/>
        </w:rPr>
        <w:t xml:space="preserve"> = Σ w</w:t>
      </w:r>
      <w:r>
        <w:rPr>
          <w:rFonts w:ascii="Cambria" w:hAnsi="Cambria"/>
          <w:b w:val="0"/>
          <w:i w:val="0"/>
          <w:sz w:val="22"/>
        </w:rPr>
        <w:t>i</w:t>
      </w:r>
      <w:r>
        <w:rPr>
          <w:rFonts w:ascii="Cambria" w:hAnsi="Cambria"/>
          <w:b w:val="0"/>
          <w:i w:val="0"/>
          <w:sz w:val="22"/>
        </w:rPr>
        <w:t xml:space="preserve"> β</w:t>
      </w:r>
      <w:r>
        <w:rPr>
          <w:rFonts w:ascii="Cambria" w:hAnsi="Cambria"/>
          <w:b w:val="0"/>
          <w:i w:val="0"/>
          <w:sz w:val="22"/>
        </w:rPr>
        <w:t>i</w:t>
      </w:r>
    </w:p>
    <w:p>
      <w:r>
        <w:rPr>
          <w:b w:val="0"/>
          <w:i w:val="0"/>
        </w:rPr>
        <w:t xml:space="preserve">.133(3.69) + .2(0.64) + .167(1.64) + .4(1.79) = </w:t>
      </w:r>
      <w:r>
        <w:rPr>
          <w:b/>
          <w:i w:val="0"/>
        </w:rPr>
        <w:t>1.61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t>CAPM ★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R</w:t>
      </w:r>
      <w:r>
        <w:rPr>
          <w:rFonts w:ascii="Cambria" w:hAnsi="Cambria"/>
          <w:b w:val="0"/>
          <w:i w:val="0"/>
          <w:sz w:val="22"/>
        </w:rPr>
        <w:t>e</w:t>
      </w:r>
      <w:r>
        <w:rPr>
          <w:rFonts w:ascii="Cambria" w:hAnsi="Cambria"/>
          <w:b w:val="0"/>
          <w:i w:val="0"/>
          <w:sz w:val="22"/>
        </w:rPr>
        <w:t xml:space="preserve"> = R</w:t>
      </w:r>
      <w:r>
        <w:rPr>
          <w:rFonts w:ascii="Cambria" w:hAnsi="Cambria"/>
          <w:b w:val="0"/>
          <w:i w:val="0"/>
          <w:sz w:val="22"/>
        </w:rPr>
        <w:t>f</w:t>
      </w:r>
      <w:r>
        <w:rPr>
          <w:rFonts w:ascii="Cambria" w:hAnsi="Cambria"/>
          <w:b w:val="0"/>
          <w:i w:val="0"/>
          <w:sz w:val="22"/>
        </w:rPr>
        <w:t xml:space="preserve"> + β (R</w:t>
      </w:r>
      <w:r>
        <w:rPr>
          <w:rFonts w:ascii="Cambria" w:hAnsi="Cambria"/>
          <w:b w:val="0"/>
          <w:i w:val="0"/>
          <w:sz w:val="22"/>
        </w:rPr>
        <w:t>m</w:t>
      </w:r>
      <w:r>
        <w:rPr>
          <w:rFonts w:ascii="Cambria" w:hAnsi="Cambria"/>
          <w:b w:val="0"/>
          <w:i w:val="0"/>
          <w:sz w:val="22"/>
        </w:rPr>
        <w:t xml:space="preserve"> − R</w:t>
      </w:r>
      <w:r>
        <w:rPr>
          <w:rFonts w:ascii="Cambria" w:hAnsi="Cambria"/>
          <w:b w:val="0"/>
          <w:i w:val="0"/>
          <w:sz w:val="22"/>
        </w:rPr>
        <w:t>f</w:t>
      </w:r>
      <w:r>
        <w:rPr>
          <w:rFonts w:ascii="Cambria" w:hAnsi="Cambria"/>
          <w:b w:val="0"/>
          <w:i w:val="0"/>
          <w:sz w:val="22"/>
        </w:rPr>
        <w:t>)</w:t>
      </w:r>
    </w:p>
    <w:p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= risk-free rate (e.g. T-bills), R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= market return, (R</w:t>
      </w:r>
      <w:r>
        <w:rPr>
          <w:b w:val="0"/>
          <w:i w:val="0"/>
        </w:rPr>
        <w:t>m</w:t>
      </w:r>
      <w:r>
        <w:rPr>
          <w:b w:val="0"/>
          <w:i w:val="0"/>
        </w:rPr>
        <w:t>−R</w:t>
      </w:r>
      <w:r>
        <w:rPr>
          <w:b w:val="0"/>
          <w:i w:val="0"/>
        </w:rPr>
        <w:t>f</w:t>
      </w:r>
      <w:r>
        <w:rPr>
          <w:b w:val="0"/>
          <w:i w:val="0"/>
        </w:rPr>
        <w:t>) = market risk premium. Higher β ⇒ higher risk premium.</w:t>
      </w:r>
    </w:p>
    <w:p>
      <w:r>
        <w:rPr>
          <w:b/>
          <w:i w:val="0"/>
          <w:color w:val="8A6D1A"/>
        </w:rPr>
        <w:t>Examples &amp; decision rule</w:t>
      </w:r>
    </w:p>
    <w:p>
      <w:pPr>
        <w:pStyle w:val="Heading1"/>
        <w:keepNext/>
        <w:pageBreakBefore/>
      </w:pPr>
      <w:r>
        <w:t>7 · Time Value of Money &amp; Bond Valuation Lec 10</w:t>
      </w:r>
    </w:p>
    <w:p>
      <w:pPr>
        <w:pStyle w:val="Heading2"/>
        <w:keepNext/>
      </w:pPr>
      <w:r>
        <w:t>Simple interest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FV = PV × (1 + r·n)   |   PV = </w:t>
      </w:r>
      <w:r>
        <w:rPr>
          <w:rFonts w:ascii="Cambria" w:hAnsi="Cambria"/>
          <w:b w:val="0"/>
          <w:i w:val="0"/>
          <w:sz w:val="22"/>
        </w:rPr>
        <w:t xml:space="preserve"> FV / (1 + r·n) </w:t>
      </w:r>
    </w:p>
    <w:p>
      <w:r>
        <w:rPr>
          <w:b w:val="0"/>
          <w:i w:val="0"/>
        </w:rPr>
        <w:t>PV 100 at 6% for 1 year → FV 106. FV table (PV, r, n → FV): (10,000, 5%, 3) → 11,500 · (25,000, 7%, 4) → 32,000 · (5,000, 6%, 1.5) → 5,450. PV table (FV, r, n → PV): (12,000, 5%, 3) → 10,434.78 · (20,000, 6%, 4) → 16,129.03 · (8,000, 9%, 2) → 6,779.66.</w:t>
      </w:r>
    </w:p>
    <w:p>
      <w:pPr>
        <w:pStyle w:val="Heading2"/>
        <w:keepNext/>
      </w:pPr>
      <w:r>
        <w:t>Compound interest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FV = PV × (1 + r)</w:t>
      </w:r>
      <w:r>
        <w:rPr>
          <w:rFonts w:ascii="Cambria" w:hAnsi="Cambria"/>
          <w:b w:val="0"/>
          <w:i w:val="0"/>
          <w:sz w:val="22"/>
        </w:rPr>
        <w:t>^</w:t>
      </w:r>
      <w:r>
        <w:rPr>
          <w:rFonts w:ascii="Cambria" w:hAnsi="Cambria"/>
          <w:b w:val="0"/>
          <w:i w:val="0"/>
          <w:sz w:val="22"/>
        </w:rPr>
        <w:t>n</w:t>
      </w:r>
      <w:r>
        <w:rPr>
          <w:rFonts w:ascii="Cambria" w:hAnsi="Cambria"/>
          <w:b w:val="0"/>
          <w:i w:val="0"/>
          <w:sz w:val="22"/>
        </w:rPr>
        <w:t xml:space="preserve">   |   PV = </w:t>
      </w:r>
      <w:r>
        <w:rPr>
          <w:rFonts w:ascii="Cambria" w:hAnsi="Cambria"/>
          <w:b w:val="0"/>
          <w:i w:val="0"/>
          <w:sz w:val="22"/>
        </w:rPr>
        <w:t xml:space="preserve"> FV / ((1 + r)^n) </w:t>
      </w:r>
    </w:p>
    <w:p>
      <w:r>
        <w:rPr>
          <w:b w:val="0"/>
          <w:i w:val="0"/>
        </w:rPr>
        <w:t>PV 100 at 6% for 5 years → FV 133.8. FV table (PV, r, n → FV): (10,000, 5%, 3) → 11,576.25 · (15,000, 8%, 5) → 22,039.92 · (50,000, 6%, 10) → 89,542.4. PV table (FV, r, n → PV): (15,000, 5%, 4) → 12,340 · (30,000, 6%, 3) → 25,188 · (10,000, 8%, 10) → 4,631.93.</w:t>
      </w:r>
    </w:p>
    <w:p>
      <w:pPr>
        <w:pStyle w:val="Heading2"/>
        <w:keepNext/>
      </w:pPr>
      <w:r>
        <w:t>Annuities (end-of-year payments)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FV = PMT × </w:t>
      </w:r>
      <w:r>
        <w:rPr>
          <w:rFonts w:ascii="Cambria" w:hAnsi="Cambria"/>
          <w:b w:val="0"/>
          <w:i w:val="0"/>
          <w:sz w:val="22"/>
        </w:rPr>
        <w:t xml:space="preserve"> ((1 + r)^n − 1) / r </w:t>
      </w:r>
      <w:r>
        <w:rPr>
          <w:rFonts w:ascii="Cambria" w:hAnsi="Cambria"/>
          <w:b w:val="0"/>
          <w:i w:val="0"/>
          <w:sz w:val="22"/>
        </w:rPr>
        <w:t xml:space="preserve">   |   PV = PMT × </w:t>
      </w:r>
      <w:r>
        <w:rPr>
          <w:rFonts w:ascii="Cambria" w:hAnsi="Cambria"/>
          <w:b w:val="0"/>
          <w:i w:val="0"/>
          <w:sz w:val="22"/>
        </w:rPr>
        <w:t xml:space="preserve"> (1 − (1 + r)^−n) / r </w:t>
      </w:r>
    </w:p>
    <w:p>
      <w:r>
        <w:rPr>
          <w:b w:val="0"/>
          <w:i w:val="0"/>
        </w:rPr>
        <w:t xml:space="preserve">PMT = 5,000 paid at the end of each year for 5 years, at r = 5%: FV = 5,000 × 5.5256 = </w:t>
      </w:r>
      <w:r>
        <w:rPr>
          <w:b/>
          <w:i w:val="0"/>
        </w:rPr>
        <w:t>27,628</w:t>
      </w:r>
      <w:r>
        <w:rPr>
          <w:b w:val="0"/>
          <w:i w:val="0"/>
        </w:rPr>
        <w:t xml:space="preserve">; PV = 5,000 × 4.3298 = </w:t>
      </w:r>
      <w:r>
        <w:rPr>
          <w:b/>
          <w:i w:val="0"/>
        </w:rPr>
        <w:t>21,647.8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t>Bond terms</w:t>
      </w:r>
    </w:p>
    <w:p>
      <w:pPr>
        <w:pStyle w:val="ListBullet"/>
      </w:pPr>
      <w:r>
        <w:rPr>
          <w:b/>
          <w:i w:val="0"/>
        </w:rPr>
        <w:t>Loans</w:t>
      </w:r>
      <w:r>
        <w:rPr>
          <w:b w:val="0"/>
          <w:i w:val="0"/>
        </w:rPr>
        <w:t xml:space="preserve"> = private debt (two parties). Pros: speed · reduced costs · financing flexibility. Cons: interest cost higher than bonds · restrictive covenants · possible future SEC registration. </w:t>
      </w:r>
      <w:r>
        <w:rPr>
          <w:b/>
          <w:i w:val="0"/>
        </w:rPr>
        <w:t>Bonds</w:t>
      </w:r>
      <w:r>
        <w:rPr>
          <w:b w:val="0"/>
          <w:i w:val="0"/>
        </w:rPr>
        <w:t xml:space="preserve"> = public debt, traded in bond markets.</w:t>
      </w:r>
    </w:p>
    <w:p>
      <w:pPr>
        <w:pStyle w:val="ListBullet"/>
      </w:pPr>
      <w:r>
        <w:rPr>
          <w:b/>
          <w:i w:val="0"/>
        </w:rPr>
        <w:t>Indenture</w:t>
      </w:r>
      <w:r>
        <w:rPr>
          <w:b w:val="0"/>
          <w:i w:val="0"/>
        </w:rPr>
        <w:t xml:space="preserve"> = legal contract with trustee; bondholders' claims </w:t>
      </w:r>
      <w:r>
        <w:rPr>
          <w:b/>
          <w:i w:val="0"/>
        </w:rPr>
        <w:t>senior</w:t>
      </w:r>
      <w:r>
        <w:rPr>
          <w:b w:val="0"/>
          <w:i w:val="0"/>
        </w:rPr>
        <w:t xml:space="preserve"> to common stock.</w:t>
      </w:r>
    </w:p>
    <w:p>
      <w:pPr>
        <w:pStyle w:val="ListBullet"/>
      </w:pPr>
      <w:r>
        <w:rPr>
          <w:b/>
          <w:i w:val="0"/>
        </w:rPr>
        <w:t>Par value</w:t>
      </w:r>
      <w:r>
        <w:rPr>
          <w:b w:val="0"/>
          <w:i w:val="0"/>
        </w:rPr>
        <w:t xml:space="preserve"> = face repaid at </w:t>
      </w:r>
      <w:r>
        <w:rPr>
          <w:b/>
          <w:i w:val="0"/>
        </w:rPr>
        <w:t>maturity</w:t>
      </w:r>
      <w:r>
        <w:rPr>
          <w:b w:val="0"/>
          <w:i w:val="0"/>
        </w:rPr>
        <w:t xml:space="preserve">; </w:t>
      </w:r>
      <w:r>
        <w:rPr>
          <w:b/>
          <w:i w:val="0"/>
        </w:rPr>
        <w:t>coupon rate</w:t>
      </w:r>
      <w:r>
        <w:rPr>
          <w:b w:val="0"/>
          <w:i w:val="0"/>
        </w:rPr>
        <w:t xml:space="preserve"> = % of par paid yearly.</w:t>
      </w:r>
    </w:p>
    <w:p>
      <w:pPr>
        <w:pStyle w:val="ListBullet"/>
      </w:pPr>
      <w:r>
        <w:rPr>
          <w:b/>
          <w:i w:val="0"/>
        </w:rPr>
        <w:t>Call provision</w:t>
      </w:r>
      <w:r>
        <w:rPr>
          <w:b w:val="0"/>
          <w:i w:val="0"/>
        </w:rPr>
        <w:t xml:space="preserve"> = issuer may redeem early; </w:t>
      </w:r>
      <w:r>
        <w:rPr>
          <w:b/>
          <w:i w:val="0"/>
        </w:rPr>
        <w:t>conversion</w:t>
      </w:r>
      <w:r>
        <w:rPr>
          <w:b w:val="0"/>
          <w:i w:val="0"/>
        </w:rPr>
        <w:t xml:space="preserve"> = bond → shares.</w:t>
      </w:r>
    </w:p>
    <w:p>
      <w:pPr>
        <w:pStyle w:val="ListBullet"/>
      </w:pPr>
      <w:r>
        <w:rPr>
          <w:b/>
          <w:i w:val="0"/>
        </w:rPr>
        <w:t>Floating rate</w:t>
      </w:r>
      <w:r>
        <w:rPr>
          <w:b w:val="0"/>
          <w:i w:val="0"/>
        </w:rPr>
        <w:t xml:space="preserve"> = index (LIBOR) of prior period + spread, subject to cap &amp; floor.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Current yield = </w:t>
      </w:r>
      <w:r>
        <w:rPr>
          <w:rFonts w:ascii="Cambria" w:hAnsi="Cambria"/>
          <w:b w:val="0"/>
          <w:i w:val="0"/>
          <w:sz w:val="22"/>
        </w:rPr>
        <w:t xml:space="preserve"> (Annual interest) / (Current market price) </w:t>
      </w:r>
      <w:r>
        <w:rPr>
          <w:rFonts w:ascii="Cambria" w:hAnsi="Cambria"/>
          <w:b w:val="0"/>
          <w:i w:val="0"/>
          <w:sz w:val="22"/>
        </w:rPr>
        <w:t xml:space="preserve">  |  Accrued interest = </w:t>
      </w:r>
      <w:r>
        <w:rPr>
          <w:rFonts w:ascii="Cambria" w:hAnsi="Cambria"/>
          <w:b w:val="0"/>
          <w:i w:val="0"/>
          <w:sz w:val="22"/>
        </w:rPr>
        <w:t xml:space="preserve"> (Months since payment) / 12 </w:t>
      </w:r>
      <w:r>
        <w:rPr>
          <w:rFonts w:ascii="Cambria" w:hAnsi="Cambria"/>
          <w:b w:val="0"/>
          <w:i w:val="0"/>
          <w:sz w:val="22"/>
        </w:rPr>
        <w:t xml:space="preserve"> × Annual coupon</w:t>
      </w:r>
    </w:p>
    <w:p>
      <w:r>
        <w:rPr>
          <w:b w:val="0"/>
          <w:i w:val="0"/>
        </w:rPr>
        <w:t xml:space="preserve">8% coupon, $1,000 par, price $700 → 80/700 = </w:t>
      </w:r>
      <w:r>
        <w:rPr>
          <w:b/>
          <w:i w:val="0"/>
        </w:rPr>
        <w:t>11.4%</w:t>
      </w:r>
      <w:r>
        <w:rPr>
          <w:b w:val="0"/>
          <w:i w:val="0"/>
        </w:rPr>
        <w:t xml:space="preserve">; 6 months accrued = 6/12 × 80 = </w:t>
      </w:r>
      <w:r>
        <w:rPr>
          <w:b/>
          <w:i w:val="0"/>
        </w:rPr>
        <w:t>$40</w:t>
      </w:r>
      <w:r>
        <w:rPr>
          <w:b w:val="0"/>
          <w:i w:val="0"/>
        </w:rPr>
        <w:t>. Floating loan (LIBOR+0.25, cap 2.5, floor 1.75): wk2 2.23 · wk3 1.91 · wk4 1.77 · wk5 1.60 · wk6 1.85 · wk7 1.88 · wk8 1.92 · wk9 2.13 · wk10 2.18.</w:t>
      </w:r>
    </w:p>
    <w:p>
      <w:pPr>
        <w:pStyle w:val="Heading2"/>
        <w:keepNext/>
      </w:pPr>
      <w:r>
        <w:t>Bond value ★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B</w:t>
      </w:r>
      <w:r>
        <w:rPr>
          <w:rFonts w:ascii="Cambria" w:hAnsi="Cambria"/>
          <w:b w:val="0"/>
          <w:i w:val="0"/>
          <w:sz w:val="22"/>
        </w:rPr>
        <w:t>0</w:t>
      </w:r>
      <w:r>
        <w:rPr>
          <w:rFonts w:ascii="Cambria" w:hAnsi="Cambria"/>
          <w:b w:val="0"/>
          <w:i w:val="0"/>
          <w:sz w:val="22"/>
        </w:rPr>
        <w:t xml:space="preserve"> = C × </w:t>
      </w:r>
      <w:r>
        <w:rPr>
          <w:rFonts w:ascii="Cambria" w:hAnsi="Cambria"/>
          <w:b w:val="0"/>
          <w:i w:val="0"/>
          <w:sz w:val="22"/>
        </w:rPr>
        <w:t xml:space="preserve"> (1 − (1 + r)^−n) / r </w:t>
      </w:r>
      <w:r>
        <w:rPr>
          <w:rFonts w:ascii="Cambria" w:hAnsi="Cambria"/>
          <w:b w:val="0"/>
          <w:i w:val="0"/>
          <w:sz w:val="22"/>
        </w:rPr>
        <w:t xml:space="preserve"> + </w:t>
      </w:r>
      <w:r>
        <w:rPr>
          <w:rFonts w:ascii="Cambria" w:hAnsi="Cambria"/>
          <w:b w:val="0"/>
          <w:i w:val="0"/>
          <w:sz w:val="22"/>
        </w:rPr>
        <w:t xml:space="preserve"> Par / ((1 + r)^n) </w:t>
      </w:r>
    </w:p>
    <w:p>
      <w:r>
        <w:rPr>
          <w:b w:val="0"/>
          <w:i w:val="0"/>
        </w:rPr>
        <w:t>= PV of coupon annuity + PV of par. C = coupon rate × par.</w:t>
      </w:r>
    </w:p>
    <w:p>
      <w:r>
        <w:rPr>
          <w:b/>
          <w:i w:val="0"/>
          <w:color w:val="8A6D1A"/>
        </w:rPr>
        <w:t>Examples</w:t>
      </w:r>
    </w:p>
    <w:p>
      <w:r>
        <w:rPr>
          <w:b w:val="0"/>
          <w:i w:val="0"/>
        </w:rPr>
        <w:t>Accept/buy: DCF value &gt; market price (undervalued)</w:t>
      </w:r>
      <w:r>
        <w:rPr>
          <w:b w:val="0"/>
          <w:i w:val="0"/>
        </w:rPr>
        <w:t>Reject: DCF value &lt; market price (overvalued)</w:t>
      </w:r>
    </w:p>
    <w:p>
      <w:pPr>
        <w:pStyle w:val="Heading1"/>
        <w:keepNext/>
        <w:pageBreakBefore/>
      </w:pPr>
      <w:r>
        <w:t>8 · Capital Budgeting Lec 12</w:t>
      </w:r>
    </w:p>
    <w:p>
      <w:r>
        <w:rPr>
          <w:b/>
          <w:i w:val="0"/>
        </w:rPr>
        <w:t>Capital budgeting</w:t>
      </w:r>
      <w:r>
        <w:rPr>
          <w:b w:val="0"/>
          <w:i w:val="0"/>
        </w:rPr>
        <w:t xml:space="preserve"> = decision process for analyzing potential fixed-asset investments. Important because of: growth, large amounts, irreversibility, complexity, risk, long-term implications. Uses: new product/service, replacement, expansion, R&amp;D, long-term contracts, safety/environment.</w:t>
      </w:r>
    </w:p>
    <w:p>
      <w:pPr>
        <w:pStyle w:val="Heading2"/>
        <w:keepNext/>
      </w:pPr>
      <w:r>
        <w:t>Techniques</w:t>
      </w:r>
    </w:p>
    <w:p>
      <w:pPr>
        <w:pStyle w:val="ListBullet"/>
      </w:pPr>
      <w:r>
        <w:rPr>
          <w:b/>
          <w:i w:val="0"/>
        </w:rPr>
        <w:t>Non-discounted:</w:t>
      </w:r>
      <w:r>
        <w:rPr>
          <w:b w:val="0"/>
          <w:i w:val="0"/>
        </w:rPr>
        <w:t xml:space="preserve"> Payback period (PBP) · Average rate of return (ARR).</w:t>
      </w:r>
    </w:p>
    <w:p>
      <w:pPr>
        <w:pStyle w:val="ListBullet"/>
      </w:pPr>
      <w:r>
        <w:rPr>
          <w:b/>
          <w:i w:val="0"/>
        </w:rPr>
        <w:t>Discounted:</w:t>
      </w:r>
      <w:r>
        <w:rPr>
          <w:b w:val="0"/>
          <w:i w:val="0"/>
        </w:rPr>
        <w:t xml:space="preserve"> Discounted PBP · NPV · IRR · Profitability index.</w:t>
      </w:r>
    </w:p>
    <w:p>
      <w:pPr>
        <w:pStyle w:val="Heading2"/>
        <w:keepNext/>
      </w:pPr>
      <w:r>
        <w:t>Payback period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Constant inflow: PBP = </w:t>
      </w:r>
      <w:r>
        <w:rPr>
          <w:rFonts w:ascii="Cambria" w:hAnsi="Cambria"/>
          <w:b w:val="0"/>
          <w:i w:val="0"/>
          <w:sz w:val="22"/>
        </w:rPr>
        <w:t xml:space="preserve"> (Initial investment) / (Annual fixed cash inflow) 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Variable inflow: PBP = Completed years + </w:t>
      </w:r>
      <w:r>
        <w:rPr>
          <w:rFonts w:ascii="Cambria" w:hAnsi="Cambria"/>
          <w:b w:val="0"/>
          <w:i w:val="0"/>
          <w:sz w:val="22"/>
        </w:rPr>
        <w:t xml:space="preserve"> (Remaining outflow) / (Cash inflow of year t) </w:t>
      </w:r>
    </w:p>
    <w:p>
      <w:r>
        <w:rPr>
          <w:b/>
          <w:i w:val="0"/>
          <w:color w:val="8A6D1A"/>
        </w:rPr>
        <w:t>Examples</w:t>
      </w:r>
    </w:p>
    <w:p>
      <w:pPr>
        <w:pStyle w:val="Heading2"/>
        <w:keepNext/>
      </w:pPr>
      <w:r>
        <w:t>Average rate of return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 xml:space="preserve">ARR = </w:t>
      </w:r>
      <w:r>
        <w:rPr>
          <w:rFonts w:ascii="Cambria" w:hAnsi="Cambria"/>
          <w:b w:val="0"/>
          <w:i w:val="0"/>
          <w:sz w:val="22"/>
        </w:rPr>
        <w:t xml:space="preserve"> (Average profit after tax) / (Average investment) </w:t>
      </w:r>
      <w:r>
        <w:rPr>
          <w:rFonts w:ascii="Cambria" w:hAnsi="Cambria"/>
          <w:b w:val="0"/>
          <w:i w:val="0"/>
          <w:sz w:val="22"/>
        </w:rPr>
        <w:t xml:space="preserve">   or   </w:t>
      </w:r>
      <w:r>
        <w:rPr>
          <w:rFonts w:ascii="Cambria" w:hAnsi="Cambria"/>
          <w:b w:val="0"/>
          <w:i w:val="0"/>
          <w:sz w:val="22"/>
        </w:rPr>
        <w:t xml:space="preserve"> (Average profit after tax) / (Initial investment) </w:t>
      </w:r>
    </w:p>
    <w:p>
      <w:r>
        <w:rPr>
          <w:b w:val="0"/>
          <w:i w:val="0"/>
        </w:rPr>
        <w:t>Determines the average annual earning of a project.</w:t>
      </w:r>
    </w:p>
    <w:p>
      <w:pPr>
        <w:pStyle w:val="Heading1"/>
        <w:keepNext/>
        <w:pageBreakBefore/>
      </w:pPr>
      <w:r>
        <w:t>9 · International Financial Management Lec 13</w:t>
      </w:r>
    </w:p>
    <w:p>
      <w:pPr>
        <w:pStyle w:val="ListBullet"/>
      </w:pPr>
      <w:r>
        <w:rPr>
          <w:b/>
          <w:i w:val="0"/>
        </w:rPr>
        <w:t>MNC:</w:t>
      </w:r>
      <w:r>
        <w:rPr>
          <w:b w:val="0"/>
          <w:i w:val="0"/>
        </w:rPr>
        <w:t xml:space="preserve"> produces &amp; sells in more than one country; parent in home country + typically 5–6 foreign subsidiaries with strategic interaction.</w:t>
      </w:r>
    </w:p>
    <w:p>
      <w:pPr>
        <w:pStyle w:val="ListBullet"/>
      </w:pPr>
      <w:r>
        <w:rPr>
          <w:b/>
          <w:i w:val="0"/>
        </w:rPr>
        <w:t>Classifications:</w:t>
      </w:r>
      <w:r>
        <w:rPr>
          <w:b w:val="0"/>
          <w:i w:val="0"/>
        </w:rPr>
        <w:t xml:space="preserve"> international · multinational · transnational corporations.</w:t>
      </w:r>
    </w:p>
    <w:p>
      <w:pPr>
        <w:pStyle w:val="ListBullet"/>
      </w:pPr>
      <w:r>
        <w:rPr>
          <w:b/>
          <w:i w:val="0"/>
        </w:rPr>
        <w:t>Formation (FDI):</w:t>
      </w:r>
      <w:r>
        <w:rPr>
          <w:b w:val="0"/>
          <w:i w:val="0"/>
        </w:rPr>
        <w:t xml:space="preserve"> buying an entire company, or partial ownership (</w:t>
      </w:r>
      <w:r>
        <w:rPr>
          <w:b/>
          <w:i w:val="0"/>
        </w:rPr>
        <w:t>≥10%</w:t>
      </w:r>
      <w:r>
        <w:rPr>
          <w:b w:val="0"/>
          <w:i w:val="0"/>
        </w:rPr>
        <w:t xml:space="preserve"> of stock).</w:t>
      </w:r>
    </w:p>
    <w:p>
      <w:pPr>
        <w:pStyle w:val="ListBullet"/>
      </w:pPr>
      <w:r>
        <w:rPr>
          <w:b/>
          <w:i w:val="0"/>
        </w:rPr>
        <w:t>Motives:</w:t>
      </w:r>
      <w:r>
        <w:rPr>
          <w:b w:val="0"/>
          <w:i w:val="0"/>
        </w:rPr>
        <w:t xml:space="preserve"> raw-material seekers (BP, Exxon, Total) · market seekers (per-capita markets) · cost minimizers (Microsoft).</w:t>
      </w:r>
    </w:p>
    <w:p>
      <w:pPr>
        <w:pStyle w:val="ListBullet"/>
      </w:pPr>
      <w:r>
        <w:rPr>
          <w:b/>
          <w:i w:val="0"/>
        </w:rPr>
        <w:t>Goal:</w:t>
      </w:r>
      <w:r>
        <w:rPr>
          <w:b w:val="0"/>
          <w:i w:val="0"/>
        </w:rPr>
        <w:t xml:space="preserve"> maximize shareholder wealth (share price + coupons).</w:t>
      </w:r>
    </w:p>
    <w:p>
      <w:pPr>
        <w:pStyle w:val="ListBullet"/>
      </w:pPr>
      <w:r>
        <w:rPr>
          <w:b/>
          <w:i w:val="0"/>
        </w:rPr>
        <w:t>Roles:</w:t>
      </w:r>
      <w:r>
        <w:rPr>
          <w:b w:val="0"/>
          <w:i w:val="0"/>
        </w:rPr>
        <w:t xml:space="preserve"> global manager (adjust to volatility) · politician &amp; labor-union face (jobs/exports at home vs abroad).</w:t>
      </w:r>
    </w:p>
    <w:p>
      <w:pPr>
        <w:pStyle w:val="ListBullet"/>
      </w:pPr>
      <w:r>
        <w:rPr>
          <w:b/>
          <w:i w:val="0"/>
        </w:rPr>
        <w:t>Difficulties:</w:t>
      </w:r>
      <w:r>
        <w:rPr>
          <w:b w:val="0"/>
          <w:i w:val="0"/>
        </w:rPr>
        <w:t xml:space="preserve"> exchange-rate risk · inflation risk · tax-rate differences · multiple financial markets · political risk.</w:t>
      </w:r>
    </w:p>
    <w:p>
      <w:pPr>
        <w:pStyle w:val="ListBullet"/>
      </w:pPr>
      <w:r>
        <w:rPr>
          <w:b/>
          <w:i w:val="0"/>
        </w:rPr>
        <w:t>FX market participants:</w:t>
      </w:r>
      <w:r>
        <w:rPr>
          <w:b w:val="0"/>
          <w:i w:val="0"/>
        </w:rPr>
        <w:t xml:space="preserve"> bank &amp; non-bank dealers · individuals &amp; firms · speculators &amp; arbitragers · central banks &amp; treasuries · brokers.</w:t>
      </w:r>
    </w:p>
    <w:p>
      <w:pPr>
        <w:pStyle w:val="Heading2"/>
        <w:keepNext/>
      </w:pPr>
      <w:r>
        <w:t>Exchange-rate regimes</w:t>
      </w:r>
    </w:p>
    <w:p>
      <w:pPr>
        <w:pStyle w:val="ListBullet"/>
      </w:pPr>
      <w:r>
        <w:rPr>
          <w:b/>
          <w:i w:val="0"/>
        </w:rPr>
        <w:t>Hard pegs:</w:t>
      </w:r>
      <w:r>
        <w:rPr>
          <w:b w:val="0"/>
          <w:i w:val="0"/>
        </w:rPr>
        <w:t xml:space="preserve"> gave up monetary sovereignty (adopt another currency / currency board).</w:t>
      </w:r>
    </w:p>
    <w:p>
      <w:pPr>
        <w:pStyle w:val="ListBullet"/>
      </w:pPr>
      <w:r>
        <w:rPr>
          <w:b/>
          <w:i w:val="0"/>
        </w:rPr>
        <w:t>Soft pegs:</w:t>
      </w:r>
      <w:r>
        <w:rPr>
          <w:b w:val="0"/>
          <w:i w:val="0"/>
        </w:rPr>
        <w:t xml:space="preserve"> fixed exchange rates.</w:t>
      </w:r>
    </w:p>
    <w:p>
      <w:pPr>
        <w:pStyle w:val="ListBullet"/>
      </w:pPr>
      <w:r>
        <w:rPr>
          <w:b/>
          <w:i w:val="0"/>
        </w:rPr>
        <w:t>Floating:</w:t>
      </w:r>
      <w:r>
        <w:rPr>
          <w:b w:val="0"/>
          <w:i w:val="0"/>
        </w:rPr>
        <w:t xml:space="preserve"> freely floating (market supply &amp; demand, occasional intervention) · managed floating (secret targets, heavy intervention).</w:t>
      </w:r>
    </w:p>
    <w:p>
      <w:pPr>
        <w:pStyle w:val="ListBullet"/>
      </w:pPr>
      <w:r>
        <w:rPr>
          <w:b/>
          <w:i w:val="0"/>
        </w:rPr>
        <w:t>Residual:</w:t>
      </w:r>
      <w:r>
        <w:rPr>
          <w:b w:val="0"/>
          <w:i w:val="0"/>
        </w:rPr>
        <w:t xml:space="preserve"> everything else.</w:t>
      </w:r>
    </w:p>
    <w:p>
      <w:pPr>
        <w:pStyle w:val="Heading2"/>
        <w:keepNext/>
      </w:pPr>
      <w:r>
        <w:t>Quotations</w:t>
      </w:r>
    </w:p>
    <w:p>
      <w:pPr>
        <w:spacing w:before="80" w:after="80"/>
        <w:ind w:left="340"/>
      </w:pPr>
      <w:r>
        <w:rPr>
          <w:rFonts w:ascii="Cambria" w:hAnsi="Cambria"/>
          <w:b w:val="0"/>
          <w:i w:val="0"/>
          <w:sz w:val="22"/>
        </w:rPr>
        <w:t>Direct = home-currency price of 1 unit foreign  |  Indirect = foreign-currency price of 1 unit home</w:t>
      </w:r>
    </w:p>
    <w:p>
      <w:r>
        <w:rPr>
          <w:b w:val="0"/>
          <w:i w:val="0"/>
        </w:rPr>
        <w:t>European terms = indirect for Americans; American terms = direct. E.g. 22-Jan-2020: $1 = EGP 15.80 = 0.90 € = 2.82 TD.</w:t>
      </w:r>
    </w:p>
    <w:p>
      <w:pPr>
        <w:pStyle w:val="Heading1"/>
        <w:keepNext/>
        <w:pageBreakBefore/>
      </w:pPr>
      <w:r>
        <w:t>★ Decision-Rule Quick Card all lectures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103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03"/>
          </w:tcPr>
          <w:p>
            <w:r>
              <w:t>Asset vs CAPM (Lec 9)</w:t>
            </w:r>
          </w:p>
        </w:tc>
        <w:tc>
          <w:tcPr>
            <w:tcW w:type="dxa" w:w="5103"/>
          </w:tcPr>
          <w:p>
            <w:r>
              <w:t>Accept if E(R) ≥ Rf+β(Rm−Rf)Reject if below</w:t>
            </w:r>
          </w:p>
        </w:tc>
      </w:tr>
      <w:tr>
        <w:tc>
          <w:tcPr>
            <w:tcW w:type="dxa" w:w="5103"/>
          </w:tcPr>
          <w:p>
            <w:r>
              <w:t>Stock / bond vs market price (Lec 8, 10)</w:t>
            </w:r>
          </w:p>
        </w:tc>
        <w:tc>
          <w:tcPr>
            <w:tcW w:type="dxa" w:w="5103"/>
          </w:tcPr>
          <w:p>
            <w:r>
              <w:t>Buy if model value &gt; price (undervalued)Avoid if value &lt; price (overvalued)</w:t>
            </w:r>
          </w:p>
        </w:tc>
      </w:tr>
      <w:tr>
        <w:tc>
          <w:tcPr>
            <w:tcW w:type="dxa" w:w="5103"/>
          </w:tcPr>
          <w:p>
            <w:r>
              <w:t>Bond coupon vs required yield (Lec 10)</w:t>
            </w:r>
          </w:p>
        </w:tc>
        <w:tc>
          <w:tcPr>
            <w:tcW w:type="dxa" w:w="5103"/>
          </w:tcPr>
          <w:p>
            <w:r>
              <w:t>r &gt; coupon → discount · r = coupon → par · r &lt; coupon → premium</w:t>
            </w:r>
          </w:p>
        </w:tc>
      </w:tr>
      <w:tr>
        <w:tc>
          <w:tcPr>
            <w:tcW w:type="dxa" w:w="5103"/>
          </w:tcPr>
          <w:p>
            <w:r>
              <w:t>Projects by payback (Lec 12)</w:t>
            </w:r>
          </w:p>
        </w:tc>
        <w:tc>
          <w:tcPr>
            <w:tcW w:type="dxa" w:w="5103"/>
          </w:tcPr>
          <w:p>
            <w:r>
              <w:t>Choose shortest payback period</w:t>
            </w:r>
          </w:p>
        </w:tc>
      </w:tr>
      <w:tr>
        <w:tc>
          <w:tcPr>
            <w:tcW w:type="dxa" w:w="5103"/>
          </w:tcPr>
          <w:p>
            <w:r>
              <w:t>Cash budget ending cash (Lec 4)</w:t>
            </w:r>
          </w:p>
        </w:tc>
        <w:tc>
          <w:tcPr>
            <w:tcW w:type="dxa" w:w="5103"/>
          </w:tcPr>
          <w:p>
            <w:r>
              <w:t>Below minimum → notes payable (finance) · above minimum → marketable securities (invest)</w:t>
            </w:r>
          </w:p>
        </w:tc>
      </w:tr>
      <w:tr>
        <w:tc>
          <w:tcPr>
            <w:tcW w:type="dxa" w:w="5103"/>
          </w:tcPr>
          <w:p>
            <w:r>
              <w:t>Liquidity ratios (Lec 5)</w:t>
            </w:r>
          </w:p>
        </w:tc>
        <w:tc>
          <w:tcPr>
            <w:tcW w:type="dxa" w:w="5103"/>
          </w:tcPr>
          <w:p>
            <w:r>
              <w:t>Current &amp; quick ≥ 1 = able to cover short-term obligations</w:t>
            </w:r>
          </w:p>
        </w:tc>
      </w:tr>
      <w:tr>
        <w:tc>
          <w:tcPr>
            <w:tcW w:type="dxa" w:w="5103"/>
          </w:tcPr>
          <w:p>
            <w:r>
              <w:t>Cash-flow coverage (Lec 3)</w:t>
            </w:r>
          </w:p>
        </w:tc>
        <w:tc>
          <w:tcPr>
            <w:tcW w:type="dxa" w:w="5103"/>
          </w:tcPr>
          <w:p>
            <w:r>
              <w:t>&gt;1 ⇒ debt repayable in &lt;1 yr · 0.1–0.3 acceptable · &lt;0.1 low · negative = financial risk</w:t>
            </w:r>
          </w:p>
        </w:tc>
      </w:tr>
      <w:tr>
        <w:tc>
          <w:tcPr>
            <w:tcW w:type="dxa" w:w="5103"/>
          </w:tcPr>
          <w:p>
            <w:r>
              <w:t>Diversification (Lec 9)</w:t>
            </w:r>
          </w:p>
        </w:tc>
        <w:tc>
          <w:tcPr>
            <w:tcW w:type="dxa" w:w="5103"/>
          </w:tcPr>
          <w:p>
            <w:r>
              <w:t>Only unsystematic risk can be diversified away; systematic (β) cannot</w:t>
            </w:r>
          </w:p>
        </w:tc>
      </w:tr>
    </w:tbl>
    <w:p/>
    <w:p>
      <w:r>
        <w:rPr>
          <w:b w:val="0"/>
          <w:i w:val="0"/>
        </w:rPr>
        <w:t>Course assessment: classwork 20% · mid-term I 20% · mid-term II 20% · final 40%. Good luck! 🍀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