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Corporate Finance</w:t>
      </w:r>
    </w:p>
    <w:p>
      <w:pPr>
        <w:jc w:val="center"/>
      </w:pPr>
      <w:r>
        <w:rPr>
          <w:b/>
        </w:rPr>
        <w:t>FIN211 · Formulas · Abbreviations · Definitions</w:t>
      </w:r>
    </w:p>
    <w:p>
      <w:pPr>
        <w:jc w:val="center"/>
      </w:pPr>
      <w:r>
        <w:t>المالية الإدارية — المعادلات والاختصارات والتعريفات</w:t>
      </w:r>
    </w:p>
    <w:p>
      <w:pPr>
        <w:jc w:val="center"/>
      </w:pPr>
      <w:r>
        <w:rPr>
          <w:i/>
        </w:rPr>
        <w:t>50 Formulas · 57 Abbreviations · 69 Definitions — bilingual EN/AR</w:t>
      </w:r>
    </w:p>
    <w:p>
      <w:pPr>
        <w:jc w:val="center"/>
      </w:pPr>
      <w:r>
        <w:rPr>
          <w:b/>
        </w:rPr>
        <w:t>Prepared by 领袖 - EBRA · إعداد</w:t>
      </w:r>
    </w:p>
    <w:p>
      <w:r>
        <w:br w:type="page"/>
      </w:r>
    </w:p>
    <w:p>
      <w:pPr>
        <w:pStyle w:val="Heading1"/>
      </w:pPr>
      <w:r>
        <w:t>A · Formula Bank — بنك المعادلات</w:t>
      </w:r>
    </w:p>
    <w:p>
      <w:pPr>
        <w:pStyle w:val="Heading2"/>
        <w:keepNext/>
      </w:pPr>
      <w:r>
        <w:t>Chapter 1 — Introduction to Corporate Finance · مدخل إلى المالية الإدارية</w:t>
      </w:r>
    </w:p>
    <w:p>
      <w:pPr>
        <w:keepNext/>
      </w:pPr>
      <w:r>
        <w:rPr>
          <w:b/>
          <w:color w:val="0F4C81"/>
        </w:rPr>
        <w:t xml:space="preserve">F01  </w:t>
      </w:r>
      <w:r>
        <w:rPr>
          <w:b/>
          <w:color w:val="0F4C81"/>
        </w:rPr>
        <w:t>Earnings per Share (EPS)</w:t>
      </w:r>
      <w:r>
        <w:rPr>
          <w:b/>
          <w:color w:val="B8860B"/>
        </w:rPr>
        <w:t xml:space="preserve">  ·  ربحية السهم (EPS)</w:t>
      </w:r>
    </w:p>
    <w:p>
      <w:pPr>
        <w:spacing w:after="40"/>
        <w:ind w:left="283"/>
      </w:pPr>
      <w:r>
        <w:rPr>
          <w:rFonts w:ascii="Cambria" w:hAnsi="Cambria"/>
        </w:rPr>
        <w:t>EPS = (Net income − Preferred dividends) / (Outstanding common shares)</w:t>
      </w:r>
    </w:p>
    <w:p>
      <w:pPr>
        <w:spacing w:after="20"/>
      </w:pPr>
      <w:r>
        <w:rPr>
          <w:color w:val="5C6B84"/>
          <w:sz w:val="18"/>
        </w:rPr>
        <w:t>NI = Net income of the period / صافي دخل الفترة; PD = Preferred dividends / أرباح الأسهم الممتازة</w:t>
      </w:r>
    </w:p>
    <w:p>
      <w:pPr>
        <w:spacing w:after="20"/>
      </w:pPr>
      <w:r>
        <w:rPr>
          <w:sz w:val="18"/>
        </w:rPr>
        <w:t>When: Whenever profit per share is asked, or for the P/E ratio. — Tells: How much profit each outstanding share earned.</w:t>
      </w:r>
    </w:p>
    <w:p>
      <w:pPr>
        <w:bidi/>
        <w:spacing w:after="40"/>
      </w:pPr>
      <w:r>
        <w:t>متى: عند السؤال عن الربح لكل سهم، أو لحساب نسبة P/E. — تخبرك: كم ربح كل سهم قائم.</w:t>
      </w:r>
    </w:p>
    <w:p>
      <w:pPr>
        <w:spacing w:after="40"/>
      </w:pPr>
    </w:p>
    <w:p>
      <w:pPr>
        <w:pStyle w:val="Heading2"/>
        <w:keepNext/>
        <w:pageBreakBefore/>
      </w:pPr>
      <w:r>
        <w:t>Chapter 2 — Analyzing the Firm's Cash Flow · تحليل التدفق النقدي للمنشأة</w:t>
      </w:r>
    </w:p>
    <w:p>
      <w:pPr>
        <w:keepNext/>
      </w:pPr>
      <w:r>
        <w:rPr>
          <w:b/>
          <w:color w:val="0F4C81"/>
        </w:rPr>
        <w:t xml:space="preserve">F02  </w:t>
      </w:r>
      <w:r>
        <w:rPr>
          <w:b/>
          <w:color w:val="0F4C81"/>
        </w:rPr>
        <w:t>MACRS depreciation</w:t>
      </w:r>
      <w:r>
        <w:rPr>
          <w:b/>
          <w:color w:val="B8860B"/>
        </w:rPr>
        <w:t xml:space="preserve">  ·  إهلاك MACRS</w:t>
      </w:r>
    </w:p>
    <w:p>
      <w:pPr>
        <w:spacing w:after="40"/>
        <w:ind w:left="283"/>
      </w:pPr>
      <w:r>
        <w:rPr>
          <w:rFonts w:ascii="Cambria" w:hAnsi="Cambria"/>
        </w:rPr>
        <w:t>Dept = Installed cost × MACRS ratet</w:t>
      </w:r>
    </w:p>
    <w:p>
      <w:pPr>
        <w:spacing w:after="20"/>
      </w:pPr>
      <w:r>
        <w:rPr>
          <w:color w:val="5C6B84"/>
          <w:sz w:val="18"/>
        </w:rPr>
        <w:t>ratet = Stated rate of year t (5-yr: 20/32/19/12/12/5%) / معدل السنة ت المحدد (5 سنوات: 20/32/19/12/12/5%)</w:t>
      </w:r>
    </w:p>
    <w:p>
      <w:pPr>
        <w:spacing w:after="20"/>
      </w:pPr>
      <w:r>
        <w:rPr>
          <w:sz w:val="18"/>
        </w:rPr>
        <w:t>When: Computing yearly depreciation for cash-flow analysis. — Tells: The non-cash charge (and tax shield) of each year.</w:t>
      </w:r>
    </w:p>
    <w:p>
      <w:pPr>
        <w:bidi/>
        <w:spacing w:after="40"/>
      </w:pPr>
      <w:r>
        <w:t>متى: لحساب الإهلاك السنوي لتحليل التدفق النقدي. — تخبرك: المصروف غير النقدي (والدرع الضريبي) لكل سنة.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F03  </w:t>
      </w:r>
      <w:r>
        <w:rPr>
          <w:b/>
          <w:color w:val="0F4C81"/>
        </w:rPr>
        <w:t>NOPAT</w:t>
      </w:r>
      <w:r>
        <w:rPr>
          <w:b/>
          <w:color w:val="B8860B"/>
        </w:rPr>
        <w:t xml:space="preserve">  ·  NOPAT</w:t>
      </w:r>
    </w:p>
    <w:p>
      <w:pPr>
        <w:spacing w:after="40"/>
        <w:ind w:left="283"/>
      </w:pPr>
      <w:r>
        <w:rPr>
          <w:rFonts w:ascii="Cambria" w:hAnsi="Cambria"/>
        </w:rPr>
        <w:t>NOPAT = EBIT × (1 − T)</w:t>
      </w:r>
    </w:p>
    <w:p>
      <w:pPr>
        <w:spacing w:after="20"/>
      </w:pPr>
      <w:r>
        <w:rPr>
          <w:color w:val="5C6B84"/>
          <w:sz w:val="18"/>
        </w:rPr>
        <w:t>EBIT = Operating income / الربح التشغيلي; T = Tax rate / معدل الضريبة</w:t>
      </w:r>
    </w:p>
    <w:p>
      <w:pPr>
        <w:spacing w:after="20"/>
      </w:pPr>
      <w:r>
        <w:rPr>
          <w:sz w:val="18"/>
        </w:rPr>
        <w:t>When: Start of the operating cash flow chain. — Tells: After-tax operating profit ignoring financing.</w:t>
      </w:r>
    </w:p>
    <w:p>
      <w:pPr>
        <w:bidi/>
        <w:spacing w:after="40"/>
      </w:pPr>
      <w:r>
        <w:t>متى: بداية سلسلة التدفق التشغيلي. — تخبرك: الربح التشغيلي بعد الضريبة متجاهلًا التمويل.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F04  </w:t>
      </w:r>
      <w:r>
        <w:rPr>
          <w:b/>
          <w:color w:val="0F4C81"/>
        </w:rPr>
        <w:t>Operating cash flow (unlevered)</w:t>
      </w:r>
      <w:r>
        <w:rPr>
          <w:b/>
          <w:color w:val="B8860B"/>
        </w:rPr>
        <w:t xml:space="preserve">  ·  التدفق التشغيلي (غير الممول)</w:t>
      </w:r>
    </w:p>
    <w:p>
      <w:pPr>
        <w:spacing w:after="40"/>
        <w:ind w:left="283"/>
      </w:pPr>
      <w:r>
        <w:rPr>
          <w:rFonts w:ascii="Cambria" w:hAnsi="Cambria"/>
        </w:rPr>
        <w:t>OCF = EBIT × (1 − T) + Depreciation</w:t>
      </w:r>
    </w:p>
    <w:p>
      <w:pPr>
        <w:spacing w:after="20"/>
      </w:pPr>
      <w:r>
        <w:rPr>
          <w:color w:val="5C6B84"/>
          <w:sz w:val="18"/>
        </w:rPr>
        <w:t>Dep = Depreciation (non-cash) / الإهلاك (غير نقدي)</w:t>
      </w:r>
    </w:p>
    <w:p>
      <w:pPr>
        <w:spacing w:after="20"/>
      </w:pPr>
      <w:r>
        <w:rPr>
          <w:sz w:val="18"/>
        </w:rPr>
        <w:t>When: Measuring cash generated by operations for all capital providers. — Tells: Cash the business engine produces.</w:t>
      </w:r>
    </w:p>
    <w:p>
      <w:pPr>
        <w:bidi/>
        <w:spacing w:after="40"/>
      </w:pPr>
      <w:r>
        <w:t>متى: لقياس النقد المولد من التشغيل لكل مقدمي رأس المال. — تخبرك: النقد الذي ينتجه محرك النشاط.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F05  </w:t>
      </w:r>
      <w:r>
        <w:rPr>
          <w:b/>
          <w:color w:val="0F4C81"/>
        </w:rPr>
        <w:t>Operating cash flow (levered)</w:t>
      </w:r>
      <w:r>
        <w:rPr>
          <w:b/>
          <w:color w:val="B8860B"/>
        </w:rPr>
        <w:t xml:space="preserve">  ·  التدفق التشغيلي (الممول)</w:t>
      </w:r>
    </w:p>
    <w:p>
      <w:pPr>
        <w:spacing w:after="40"/>
        <w:ind w:left="283"/>
      </w:pPr>
      <w:r>
        <w:rPr>
          <w:rFonts w:ascii="Cambria" w:hAnsi="Cambria"/>
        </w:rPr>
        <w:t>OCF = Net income after tax + Depreciation</w:t>
      </w:r>
    </w:p>
    <w:p>
      <w:pPr>
        <w:spacing w:after="20"/>
      </w:pPr>
      <w:r>
        <w:rPr>
          <w:sz w:val="18"/>
        </w:rPr>
        <w:t>When: When interest and debt servicing must be reflected. — Tells: Cash after serving debt.</w:t>
      </w:r>
    </w:p>
    <w:p>
      <w:pPr>
        <w:bidi/>
        <w:spacing w:after="40"/>
      </w:pPr>
      <w:r>
        <w:t>متى: عند وجوب عكس الفوائد وخدمة الدين. — تخبرك: النقد بعد خدمة الدين.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F06  </w:t>
      </w:r>
      <w:r>
        <w:rPr>
          <w:b/>
          <w:color w:val="0F4C81"/>
        </w:rPr>
        <w:t>Free cash flow (FCF)</w:t>
      </w:r>
      <w:r>
        <w:rPr>
          <w:b/>
          <w:color w:val="B8860B"/>
        </w:rPr>
        <w:t xml:space="preserve">  ·  التدفق النقدي الحر (FCF)</w:t>
      </w:r>
    </w:p>
    <w:p>
      <w:pPr>
        <w:spacing w:after="40"/>
        <w:ind w:left="283"/>
      </w:pPr>
      <w:r>
        <w:rPr>
          <w:rFonts w:ascii="Cambria" w:hAnsi="Cambria"/>
        </w:rPr>
        <w:t>FCF = OCF − NFAI − NCAI</w:t>
      </w:r>
    </w:p>
    <w:p>
      <w:pPr>
        <w:spacing w:after="20"/>
      </w:pPr>
      <w:r>
        <w:rPr>
          <w:color w:val="5C6B84"/>
          <w:sz w:val="18"/>
        </w:rPr>
        <w:t>NFAI = Net fixed-asset investment / صافي الاستثمار في الأصول الثابتة; NCAI = Net current-asset investment / صافي الاستثمار في الأصول المتداولة</w:t>
      </w:r>
    </w:p>
    <w:p>
      <w:pPr>
        <w:spacing w:after="20"/>
      </w:pPr>
      <w:r>
        <w:rPr>
          <w:sz w:val="18"/>
        </w:rPr>
        <w:t>When: Cash available to investors after funding growth. — Tells: What owners and lenders can actually take.</w:t>
      </w:r>
    </w:p>
    <w:p>
      <w:pPr>
        <w:bidi/>
        <w:spacing w:after="40"/>
      </w:pPr>
      <w:r>
        <w:t>متى: النقد المتاح للمستثمرين بعد تمويل النمو. — تخبرك: ما يمكن للملاك والمقرضين أخذه فعلًا.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F07  </w:t>
      </w:r>
      <w:r>
        <w:rPr>
          <w:b/>
          <w:color w:val="0F4C81"/>
        </w:rPr>
        <w:t>Net fixed-asset investment</w:t>
      </w:r>
      <w:r>
        <w:rPr>
          <w:b/>
          <w:color w:val="B8860B"/>
        </w:rPr>
        <w:t xml:space="preserve">  ·  صافي الاستثمار في الأصول الثابتة</w:t>
      </w:r>
    </w:p>
    <w:p>
      <w:pPr>
        <w:spacing w:after="40"/>
        <w:ind w:left="283"/>
      </w:pPr>
      <w:r>
        <w:rPr>
          <w:rFonts w:ascii="Cambria" w:hAnsi="Cambria"/>
        </w:rPr>
        <w:t>NFAI = Δ Net fixed assets + Depreciation</w:t>
      </w:r>
    </w:p>
    <w:p>
      <w:pPr>
        <w:spacing w:after="20"/>
      </w:pPr>
      <w:r>
        <w:rPr>
          <w:sz w:val="18"/>
        </w:rPr>
        <w:t>When: Inside the FCF computation. — Tells: Cash absorbed by the fixed-asset base.</w:t>
      </w:r>
    </w:p>
    <w:p>
      <w:pPr>
        <w:bidi/>
        <w:spacing w:after="40"/>
      </w:pPr>
      <w:r>
        <w:t>متى: داخل حساب FCF. — تخبرك: النقد الممتص بقاعدة الأصول الثابتة.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F08  </w:t>
      </w:r>
      <w:r>
        <w:rPr>
          <w:b/>
          <w:color w:val="0F4C81"/>
        </w:rPr>
        <w:t>Net current-asset investment</w:t>
      </w:r>
      <w:r>
        <w:rPr>
          <w:b/>
          <w:color w:val="B8860B"/>
        </w:rPr>
        <w:t xml:space="preserve">  ·  صافي الاستثمار في الأصول المتداولة</w:t>
      </w:r>
    </w:p>
    <w:p>
      <w:pPr>
        <w:spacing w:after="40"/>
        <w:ind w:left="283"/>
      </w:pPr>
      <w:r>
        <w:rPr>
          <w:rFonts w:ascii="Cambria" w:hAnsi="Cambria"/>
        </w:rPr>
        <w:t>NCAI = Δ Current assets − Δ (A/P + Accruals)</w:t>
      </w:r>
    </w:p>
    <w:p>
      <w:pPr>
        <w:spacing w:after="20"/>
      </w:pPr>
      <w:r>
        <w:rPr>
          <w:sz w:val="18"/>
        </w:rPr>
        <w:t>When: Inside the FCF computation. — Tells: Cash absorbed by working capital, net of spontaneous financing.</w:t>
      </w:r>
    </w:p>
    <w:p>
      <w:pPr>
        <w:bidi/>
        <w:spacing w:after="40"/>
      </w:pPr>
      <w:r>
        <w:t>متى: داخل حساب FCF. — تخبرك: النقد الممتص برأس المال العامل صافيًا من التمويل التلقائي.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F09  </w:t>
      </w:r>
      <w:r>
        <w:rPr>
          <w:b/>
          <w:color w:val="0F4C81"/>
        </w:rPr>
        <w:t>Free cash flow to the firm (FCFF) ★</w:t>
      </w:r>
      <w:r>
        <w:rPr>
          <w:b/>
          <w:color w:val="B8860B"/>
        </w:rPr>
        <w:t xml:space="preserve">  ·  التدفق الحر للمنشأة (FCFF) ★</w:t>
      </w:r>
    </w:p>
    <w:p>
      <w:pPr>
        <w:spacing w:after="40"/>
        <w:ind w:left="283"/>
      </w:pPr>
      <w:r>
        <w:rPr>
          <w:rFonts w:ascii="Cambria" w:hAnsi="Cambria"/>
        </w:rPr>
        <w:t>FCFF = NI + Dep + [Interest × (1 − T)] − FA investment − ΔWC</w:t>
      </w:r>
    </w:p>
    <w:p>
      <w:pPr>
        <w:spacing w:after="20"/>
      </w:pPr>
      <w:r>
        <w:rPr>
          <w:color w:val="5C6B84"/>
          <w:sz w:val="18"/>
        </w:rPr>
        <w:t>NI = Net income / صافي الدخل; ΔWC = Change in working capital / التغير في رأس المال العامل</w:t>
      </w:r>
    </w:p>
    <w:p>
      <w:pPr>
        <w:spacing w:after="20"/>
      </w:pPr>
      <w:r>
        <w:rPr>
          <w:sz w:val="18"/>
        </w:rPr>
        <w:t>When: Valuing the whole firm (debt + equity together). — Tells: Cash for all capital providers after re-investment.</w:t>
      </w:r>
    </w:p>
    <w:p>
      <w:pPr>
        <w:bidi/>
        <w:spacing w:after="40"/>
      </w:pPr>
      <w:r>
        <w:t>متى: لتقييم المنشأة ككل (دين + ملكية معًا). — تخبرك: النقد لكل مقدمي رأس المال بعد إعادة الاستثمار.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F10  </w:t>
      </w:r>
      <w:r>
        <w:rPr>
          <w:b/>
          <w:color w:val="0F4C81"/>
        </w:rPr>
        <w:t>Cash-flow margin</w:t>
      </w:r>
      <w:r>
        <w:rPr>
          <w:b/>
          <w:color w:val="B8860B"/>
        </w:rPr>
        <w:t xml:space="preserve">  ·  هامش التدفق النقدي</w:t>
      </w:r>
    </w:p>
    <w:p>
      <w:pPr>
        <w:spacing w:after="40"/>
        <w:ind w:left="283"/>
      </w:pPr>
      <w:r>
        <w:rPr>
          <w:rFonts w:ascii="Cambria" w:hAnsi="Cambria"/>
        </w:rPr>
        <w:t>CF margin = OCF / (Sales revenue)</w:t>
      </w:r>
    </w:p>
    <w:p>
      <w:pPr>
        <w:spacing w:after="20"/>
      </w:pPr>
      <w:r>
        <w:rPr>
          <w:sz w:val="18"/>
        </w:rPr>
        <w:t>When: Judging cash conversion of revenues. — Tells: Cash generated per revenue dollar.</w:t>
      </w:r>
    </w:p>
    <w:p>
      <w:pPr>
        <w:bidi/>
        <w:spacing w:after="40"/>
      </w:pPr>
      <w:r>
        <w:t>متى: للحكم على التحويل النقدي للإيرادات. — تخبرك: النقد المولد لكل دولار إيرادات.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F11  </w:t>
      </w:r>
      <w:r>
        <w:rPr>
          <w:b/>
          <w:color w:val="0F4C81"/>
        </w:rPr>
        <w:t>Cash-flow coverage</w:t>
      </w:r>
      <w:r>
        <w:rPr>
          <w:b/>
          <w:color w:val="B8860B"/>
        </w:rPr>
        <w:t xml:space="preserve">  ·  تغطية التدفق النقدي</w:t>
      </w:r>
    </w:p>
    <w:p>
      <w:pPr>
        <w:spacing w:after="40"/>
        <w:ind w:left="283"/>
      </w:pPr>
      <w:r>
        <w:rPr>
          <w:rFonts w:ascii="Cambria" w:hAnsi="Cambria"/>
        </w:rPr>
        <w:t>CF coverage = OCF / (Total debt)</w:t>
      </w:r>
    </w:p>
    <w:p>
      <w:pPr>
        <w:spacing w:after="20"/>
      </w:pPr>
      <w:r>
        <w:rPr>
          <w:sz w:val="18"/>
        </w:rPr>
        <w:t>When: Judging debt-repayment ability from operations. — Tells: How fast operating cash could clear the debt.</w:t>
      </w:r>
    </w:p>
    <w:p>
      <w:pPr>
        <w:bidi/>
        <w:spacing w:after="40"/>
      </w:pPr>
      <w:r>
        <w:t>متى: للحكم على قدرة سداد الدين من التشغيل. — تخبرك: كم بسرعة يمحو نقد التشغيل الدين.</w:t>
      </w:r>
    </w:p>
    <w:p>
      <w:pPr>
        <w:spacing w:after="40"/>
      </w:pPr>
    </w:p>
    <w:p>
      <w:pPr>
        <w:pStyle w:val="Heading2"/>
        <w:keepNext/>
        <w:pageBreakBefore/>
      </w:pPr>
      <w:r>
        <w:t>Chapter 3 — Cash Budgeting · الموازنة النقدية</w:t>
      </w:r>
    </w:p>
    <w:p>
      <w:pPr>
        <w:keepNext/>
      </w:pPr>
      <w:r>
        <w:rPr>
          <w:b/>
          <w:color w:val="0F4C81"/>
        </w:rPr>
        <w:t xml:space="preserve">F12  </w:t>
      </w:r>
      <w:r>
        <w:rPr>
          <w:b/>
          <w:color w:val="0F4C81"/>
        </w:rPr>
        <w:t>Net cash flow (cash budget)</w:t>
      </w:r>
      <w:r>
        <w:rPr>
          <w:b/>
          <w:color w:val="B8860B"/>
        </w:rPr>
        <w:t xml:space="preserve">  ·  صافي التدفق النقدي (الموازنة النقدية)</w:t>
      </w:r>
    </w:p>
    <w:p>
      <w:pPr>
        <w:spacing w:after="40"/>
        <w:ind w:left="283"/>
      </w:pPr>
      <w:r>
        <w:rPr>
          <w:rFonts w:ascii="Cambria" w:hAnsi="Cambria"/>
        </w:rPr>
        <w:t>Net CF = Cash receipts − Cash disbursements</w:t>
      </w:r>
    </w:p>
    <w:p>
      <w:pPr>
        <w:spacing w:after="20"/>
      </w:pPr>
      <w:r>
        <w:rPr>
          <w:sz w:val="18"/>
        </w:rPr>
        <w:t>When: Step 3 of the cash budget. — Tells: The month's cash surplus or hole.</w:t>
      </w:r>
    </w:p>
    <w:p>
      <w:pPr>
        <w:bidi/>
        <w:spacing w:after="40"/>
      </w:pPr>
      <w:r>
        <w:t>متى: الخطوة ٣ من الموازنة النقدية. — تخبرك: فائض الشهر أو حفرته النقدية.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F13  </w:t>
      </w:r>
      <w:r>
        <w:rPr>
          <w:b/>
          <w:color w:val="0F4C81"/>
        </w:rPr>
        <w:t>Ending cash &amp; financing position</w:t>
      </w:r>
      <w:r>
        <w:rPr>
          <w:b/>
          <w:color w:val="B8860B"/>
        </w:rPr>
        <w:t xml:space="preserve">  ·  النقد الختامي ومركز التمويل</w:t>
      </w:r>
    </w:p>
    <w:p>
      <w:pPr>
        <w:spacing w:after="40"/>
        <w:ind w:left="283"/>
      </w:pPr>
      <w:r>
        <w:rPr>
          <w:rFonts w:ascii="Cambria" w:hAnsi="Cambria"/>
        </w:rPr>
        <w:t>Ending cash = Net CF + Beginning cash; · Ending &lt; Min ⇒ financing · Ending &gt; Min ⇒ excess</w:t>
      </w:r>
    </w:p>
    <w:p>
      <w:pPr>
        <w:spacing w:after="20"/>
      </w:pPr>
      <w:r>
        <w:rPr>
          <w:color w:val="5C6B84"/>
          <w:sz w:val="18"/>
        </w:rPr>
        <w:t>Min = Required minimum cash balance / الحد الأدنى المطلوب للنقد</w:t>
      </w:r>
    </w:p>
    <w:p>
      <w:pPr>
        <w:spacing w:after="20"/>
      </w:pPr>
      <w:r>
        <w:rPr>
          <w:sz w:val="18"/>
        </w:rPr>
        <w:t>When: Deciding borrow vs invest each month. — Tells: Whether notes payable or marketable securities are needed.</w:t>
      </w:r>
    </w:p>
    <w:p>
      <w:pPr>
        <w:bidi/>
        <w:spacing w:after="40"/>
      </w:pPr>
      <w:r>
        <w:t>متى: لتقرير الاقتراض مقابل الاستثمار كل شهر. — تخبرك: هل تلزم أوراق دفع أم أوراق مالية.</w:t>
      </w:r>
    </w:p>
    <w:p>
      <w:pPr>
        <w:spacing w:after="40"/>
      </w:pPr>
    </w:p>
    <w:p>
      <w:pPr>
        <w:pStyle w:val="Heading2"/>
        <w:keepNext/>
        <w:pageBreakBefore/>
      </w:pPr>
      <w:r>
        <w:t>Chapter 4 — Financial Statement Analysis · تحليل القوائم المالية</w:t>
      </w:r>
    </w:p>
    <w:p>
      <w:pPr>
        <w:keepNext/>
      </w:pPr>
      <w:r>
        <w:rPr>
          <w:b/>
          <w:color w:val="0F4C81"/>
        </w:rPr>
        <w:t xml:space="preserve">F14  </w:t>
      </w:r>
      <w:r>
        <w:rPr>
          <w:b/>
          <w:color w:val="0F4C81"/>
        </w:rPr>
        <w:t>Common-size percentage</w:t>
      </w:r>
      <w:r>
        <w:rPr>
          <w:b/>
          <w:color w:val="B8860B"/>
        </w:rPr>
        <w:t xml:space="preserve">  ·  نسبة المقاس المشترك</w:t>
      </w:r>
    </w:p>
    <w:p>
      <w:pPr>
        <w:spacing w:after="40"/>
        <w:ind w:left="283"/>
      </w:pPr>
      <w:r>
        <w:rPr>
          <w:rFonts w:ascii="Cambria" w:hAnsi="Cambria"/>
        </w:rPr>
        <w:t>CS% = (Comparison amount) / (Base amount) × 100</w:t>
      </w:r>
    </w:p>
    <w:p>
      <w:pPr>
        <w:spacing w:after="20"/>
      </w:pPr>
      <w:r>
        <w:rPr>
          <w:color w:val="5C6B84"/>
          <w:sz w:val="18"/>
        </w:rPr>
        <w:t>Base = Total revenues (IS) or total assets (BS) / إجمالي الإيرادات (الدخل) أو الأصول (الميزانية)</w:t>
      </w:r>
    </w:p>
    <w:p>
      <w:pPr>
        <w:spacing w:after="20"/>
      </w:pPr>
      <w:r>
        <w:rPr>
          <w:sz w:val="18"/>
        </w:rPr>
        <w:t>When: Vertical analysis of statements. — Tells: Each item's slice of the pie.</w:t>
      </w:r>
    </w:p>
    <w:p>
      <w:pPr>
        <w:bidi/>
        <w:spacing w:after="40"/>
      </w:pPr>
      <w:r>
        <w:t>متى: للتحليل الرأسي للقوائم. — تخبرك: حصة كل بند من الفطيرة.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F15  </w:t>
      </w:r>
      <w:r>
        <w:rPr>
          <w:b/>
          <w:color w:val="0F4C81"/>
        </w:rPr>
        <w:t>Trend percent change</w:t>
      </w:r>
      <w:r>
        <w:rPr>
          <w:b/>
          <w:color w:val="B8860B"/>
        </w:rPr>
        <w:t xml:space="preserve">  ·  نسبة التغير في الاتجاه</w:t>
      </w:r>
    </w:p>
    <w:p>
      <w:pPr>
        <w:spacing w:after="40"/>
        <w:ind w:left="283"/>
      </w:pPr>
      <w:r>
        <w:rPr>
          <w:rFonts w:ascii="Cambria" w:hAnsi="Cambria"/>
        </w:rPr>
        <w:t>%Δ = (Analysis year − Base year) / (Base year) × 100</w:t>
      </w:r>
    </w:p>
    <w:p>
      <w:pPr>
        <w:spacing w:after="20"/>
      </w:pPr>
      <w:r>
        <w:rPr>
          <w:sz w:val="18"/>
        </w:rPr>
        <w:t>When: Horizontal analysis across years. — Tells: Growth or shrinkage of one line item.</w:t>
      </w:r>
    </w:p>
    <w:p>
      <w:pPr>
        <w:bidi/>
        <w:spacing w:after="40"/>
      </w:pPr>
      <w:r>
        <w:t>متى: للتحليل الأفقي عبر السنين. — تخبرك: نمو أو انكماش بند واحد.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F16  </w:t>
      </w:r>
      <w:r>
        <w:rPr>
          <w:b/>
          <w:color w:val="0F4C81"/>
        </w:rPr>
        <w:t>Current ratio</w:t>
      </w:r>
      <w:r>
        <w:rPr>
          <w:b/>
          <w:color w:val="B8860B"/>
        </w:rPr>
        <w:t xml:space="preserve">  ·  نسبة التداول</w:t>
      </w:r>
    </w:p>
    <w:p>
      <w:pPr>
        <w:spacing w:after="40"/>
        <w:ind w:left="283"/>
      </w:pPr>
      <w:r>
        <w:rPr>
          <w:rFonts w:ascii="Cambria" w:hAnsi="Cambria"/>
        </w:rPr>
        <w:t>CR = (Current assets) / (Current liabilities)</w:t>
      </w:r>
    </w:p>
    <w:p>
      <w:pPr>
        <w:spacing w:after="20"/>
      </w:pPr>
      <w:r>
        <w:rPr>
          <w:sz w:val="18"/>
        </w:rPr>
        <w:t>When: Liquidity screening. — Tells: Coverage of short-term obligations.</w:t>
      </w:r>
    </w:p>
    <w:p>
      <w:pPr>
        <w:bidi/>
        <w:spacing w:after="40"/>
      </w:pPr>
      <w:r>
        <w:t>متى: لغربلة السيولة. — تخبرك: تغطية الالتزامات القصيرة.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F17  </w:t>
      </w:r>
      <w:r>
        <w:rPr>
          <w:b/>
          <w:color w:val="0F4C81"/>
        </w:rPr>
        <w:t>Quick (acid-test) ratio</w:t>
      </w:r>
      <w:r>
        <w:rPr>
          <w:b/>
          <w:color w:val="B8860B"/>
        </w:rPr>
        <w:t xml:space="preserve">  ·  النسبة السريعة</w:t>
      </w:r>
    </w:p>
    <w:p>
      <w:pPr>
        <w:spacing w:after="40"/>
        <w:ind w:left="283"/>
      </w:pPr>
      <w:r>
        <w:rPr>
          <w:rFonts w:ascii="Cambria" w:hAnsi="Cambria"/>
        </w:rPr>
        <w:t>QR = (Cash + ST investments + A/R) / (Current liabilities)</w:t>
      </w:r>
    </w:p>
    <w:p>
      <w:pPr>
        <w:spacing w:after="20"/>
      </w:pPr>
      <w:r>
        <w:rPr>
          <w:sz w:val="18"/>
        </w:rPr>
        <w:t>When: Liquidity without relying on inventory sales. — Tells: Immediate paying power.</w:t>
      </w:r>
    </w:p>
    <w:p>
      <w:pPr>
        <w:bidi/>
        <w:spacing w:after="40"/>
      </w:pPr>
      <w:r>
        <w:t>متى: للسيولة دون الاعتماد على بيع المخزون. — تخبرك: قدرة السداد الفورية.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F18  </w:t>
      </w:r>
      <w:r>
        <w:rPr>
          <w:b/>
          <w:color w:val="0F4C81"/>
        </w:rPr>
        <w:t>Cash ratio</w:t>
      </w:r>
      <w:r>
        <w:rPr>
          <w:b/>
          <w:color w:val="B8860B"/>
        </w:rPr>
        <w:t xml:space="preserve">  ·  النسبة النقدية</w:t>
      </w:r>
    </w:p>
    <w:p>
      <w:pPr>
        <w:spacing w:after="40"/>
        <w:ind w:left="283"/>
      </w:pPr>
      <w:r>
        <w:rPr>
          <w:rFonts w:ascii="Cambria" w:hAnsi="Cambria"/>
        </w:rPr>
        <w:t>Cash ratio = (Cash &amp; equivalents) / (Current liabilities)</w:t>
      </w:r>
    </w:p>
    <w:p>
      <w:pPr>
        <w:spacing w:after="20"/>
      </w:pPr>
      <w:r>
        <w:rPr>
          <w:sz w:val="18"/>
        </w:rPr>
        <w:t>When: Most conservative liquidity test. — Tells: Coverage from cash alone.</w:t>
      </w:r>
    </w:p>
    <w:p>
      <w:pPr>
        <w:bidi/>
        <w:spacing w:after="40"/>
      </w:pPr>
      <w:r>
        <w:t>متى: أكثر اختبارات السيولة تحفظًا. — تخبرك: التغطية من النقد وحده.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F19  </w:t>
      </w:r>
      <w:r>
        <w:rPr>
          <w:b/>
          <w:color w:val="0F4C81"/>
        </w:rPr>
        <w:t>Accounts-receivable turnover</w:t>
      </w:r>
      <w:r>
        <w:rPr>
          <w:b/>
          <w:color w:val="B8860B"/>
        </w:rPr>
        <w:t xml:space="preserve">  ·  دوران المدينين</w:t>
      </w:r>
    </w:p>
    <w:p>
      <w:pPr>
        <w:spacing w:after="40"/>
        <w:ind w:left="283"/>
      </w:pPr>
      <w:r>
        <w:rPr>
          <w:rFonts w:ascii="Cambria" w:hAnsi="Cambria"/>
        </w:rPr>
        <w:t>AR turnover = (Net credit sales) / (Average net A/R)</w:t>
      </w:r>
    </w:p>
    <w:p>
      <w:pPr>
        <w:spacing w:after="20"/>
      </w:pPr>
      <w:r>
        <w:rPr>
          <w:sz w:val="18"/>
        </w:rPr>
        <w:t>When: Efficiency of collection. — Tells: How efficiently debts are collected.</w:t>
      </w:r>
    </w:p>
    <w:p>
      <w:pPr>
        <w:bidi/>
        <w:spacing w:after="40"/>
      </w:pPr>
      <w:r>
        <w:t>متى: لكفاءة التحصيل. — تخبرك: كم بكفاءة تُحصّل الديون.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F20  </w:t>
      </w:r>
      <w:r>
        <w:rPr>
          <w:b/>
          <w:color w:val="0F4C81"/>
        </w:rPr>
        <w:t>Inventory turnover</w:t>
      </w:r>
      <w:r>
        <w:rPr>
          <w:b/>
          <w:color w:val="B8860B"/>
        </w:rPr>
        <w:t xml:space="preserve">  ·  دوران المخزون</w:t>
      </w:r>
    </w:p>
    <w:p>
      <w:pPr>
        <w:spacing w:after="40"/>
        <w:ind w:left="283"/>
      </w:pPr>
      <w:r>
        <w:rPr>
          <w:rFonts w:ascii="Cambria" w:hAnsi="Cambria"/>
        </w:rPr>
        <w:t>Inv turnover = COGS / (Average inventory)</w:t>
      </w:r>
    </w:p>
    <w:p>
      <w:pPr>
        <w:spacing w:after="20"/>
      </w:pPr>
      <w:r>
        <w:rPr>
          <w:sz w:val="18"/>
        </w:rPr>
        <w:t>When: Efficiency of inventory management. — Tells: How fast stock moves.</w:t>
      </w:r>
    </w:p>
    <w:p>
      <w:pPr>
        <w:bidi/>
        <w:spacing w:after="40"/>
      </w:pPr>
      <w:r>
        <w:t>متى: لكفاءة إدارة المخزون. — تخبرك: كم بسرعة يتحرك المخزون.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F21  </w:t>
      </w:r>
      <w:r>
        <w:rPr>
          <w:b/>
          <w:color w:val="0F4C81"/>
        </w:rPr>
        <w:t>Debt to assets</w:t>
      </w:r>
      <w:r>
        <w:rPr>
          <w:b/>
          <w:color w:val="B8860B"/>
        </w:rPr>
        <w:t xml:space="preserve">  ·  الدين إلى الأصول</w:t>
      </w:r>
    </w:p>
    <w:p>
      <w:pPr>
        <w:spacing w:after="40"/>
        <w:ind w:left="283"/>
      </w:pPr>
      <w:r>
        <w:rPr>
          <w:rFonts w:ascii="Cambria" w:hAnsi="Cambria"/>
        </w:rPr>
        <w:t>D/A = (Total debt) / (Total assets)</w:t>
      </w:r>
    </w:p>
    <w:p>
      <w:pPr>
        <w:spacing w:after="20"/>
      </w:pPr>
      <w:r>
        <w:rPr>
          <w:sz w:val="18"/>
        </w:rPr>
        <w:t>When: Solvency / leverage check. — Tells: Share of assets financed by creditors.</w:t>
      </w:r>
    </w:p>
    <w:p>
      <w:pPr>
        <w:bidi/>
        <w:spacing w:after="40"/>
      </w:pPr>
      <w:r>
        <w:t>متى: لفحص الملاءة/الرافعة. — تخبرك: حصة الأصول الممولة من الدائنين.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F22  </w:t>
      </w:r>
      <w:r>
        <w:rPr>
          <w:b/>
          <w:color w:val="0F4C81"/>
        </w:rPr>
        <w:t>Times interest earned</w:t>
      </w:r>
      <w:r>
        <w:rPr>
          <w:b/>
          <w:color w:val="B8860B"/>
        </w:rPr>
        <w:t xml:space="preserve">  ·  مرات تغطية الفوائد</w:t>
      </w:r>
    </w:p>
    <w:p>
      <w:pPr>
        <w:spacing w:after="40"/>
        <w:ind w:left="283"/>
      </w:pPr>
      <w:r>
        <w:rPr>
          <w:rFonts w:ascii="Cambria" w:hAnsi="Cambria"/>
        </w:rPr>
        <w:t>TIE = EBIT / (Interest expense)</w:t>
      </w:r>
    </w:p>
    <w:p>
      <w:pPr>
        <w:spacing w:after="20"/>
      </w:pPr>
      <w:r>
        <w:rPr>
          <w:sz w:val="18"/>
        </w:rPr>
        <w:t>When: Ability to meet interest as it comes due. — Tells: Cushion over the interest bill.</w:t>
      </w:r>
    </w:p>
    <w:p>
      <w:pPr>
        <w:bidi/>
        <w:spacing w:after="40"/>
      </w:pPr>
      <w:r>
        <w:t>متى: للقدرة على سداد الفوائد عند استحقاقها. — تخبرك: الوسادة فوق فاتورة الفوائد.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F23  </w:t>
      </w:r>
      <w:r>
        <w:rPr>
          <w:b/>
          <w:color w:val="0F4C81"/>
        </w:rPr>
        <w:t>Profit margin</w:t>
      </w:r>
      <w:r>
        <w:rPr>
          <w:b/>
          <w:color w:val="B8860B"/>
        </w:rPr>
        <w:t xml:space="preserve">  ·  هامش الربح</w:t>
      </w:r>
    </w:p>
    <w:p>
      <w:pPr>
        <w:spacing w:after="40"/>
        <w:ind w:left="283"/>
      </w:pPr>
      <w:r>
        <w:rPr>
          <w:rFonts w:ascii="Cambria" w:hAnsi="Cambria"/>
        </w:rPr>
        <w:t>PM = (Net income) / (Net sales)</w:t>
      </w:r>
    </w:p>
    <w:p>
      <w:pPr>
        <w:spacing w:after="20"/>
      </w:pPr>
      <w:r>
        <w:rPr>
          <w:sz w:val="18"/>
        </w:rPr>
        <w:t>When: Profitability per sales dollar. — Tells: Net income carved from each sales dollar.</w:t>
      </w:r>
    </w:p>
    <w:p>
      <w:pPr>
        <w:bidi/>
        <w:spacing w:after="40"/>
      </w:pPr>
      <w:r>
        <w:t>متى: للربحية لكل دولار مبيعات. — تخبرك: صافي الدخل المنحوت من كل دولار مبيعات.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F24  </w:t>
      </w:r>
      <w:r>
        <w:rPr>
          <w:b/>
          <w:color w:val="0F4C81"/>
        </w:rPr>
        <w:t>Asset turnover</w:t>
      </w:r>
      <w:r>
        <w:rPr>
          <w:b/>
          <w:color w:val="B8860B"/>
        </w:rPr>
        <w:t xml:space="preserve">  ·  دوران الأصول</w:t>
      </w:r>
    </w:p>
    <w:p>
      <w:pPr>
        <w:spacing w:after="40"/>
        <w:ind w:left="283"/>
      </w:pPr>
      <w:r>
        <w:rPr>
          <w:rFonts w:ascii="Cambria" w:hAnsi="Cambria"/>
        </w:rPr>
        <w:t>AT = (Net sales) / (Average total assets)</w:t>
      </w:r>
    </w:p>
    <w:p>
      <w:pPr>
        <w:spacing w:after="20"/>
      </w:pPr>
      <w:r>
        <w:rPr>
          <w:sz w:val="18"/>
        </w:rPr>
        <w:t>When: Efficiency of asset use. — Tells: Revenue generated per asset dollar.</w:t>
      </w:r>
    </w:p>
    <w:p>
      <w:pPr>
        <w:bidi/>
        <w:spacing w:after="40"/>
      </w:pPr>
      <w:r>
        <w:t>متى: لكفاءة استخدام الأصول. — تخبرك: الإيراد المولد لكل دولار أصول.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F25  </w:t>
      </w:r>
      <w:r>
        <w:rPr>
          <w:b/>
          <w:color w:val="0F4C81"/>
        </w:rPr>
        <w:t>Return on assets (ROA)</w:t>
      </w:r>
      <w:r>
        <w:rPr>
          <w:b/>
          <w:color w:val="B8860B"/>
        </w:rPr>
        <w:t xml:space="preserve">  ·  العائد على الأصول</w:t>
      </w:r>
    </w:p>
    <w:p>
      <w:pPr>
        <w:spacing w:after="40"/>
        <w:ind w:left="283"/>
      </w:pPr>
      <w:r>
        <w:rPr>
          <w:rFonts w:ascii="Cambria" w:hAnsi="Cambria"/>
        </w:rPr>
        <w:t>ROA = (Net income) / (Average total assets)</w:t>
      </w:r>
    </w:p>
    <w:p>
      <w:pPr>
        <w:spacing w:after="20"/>
      </w:pPr>
      <w:r>
        <w:rPr>
          <w:sz w:val="18"/>
        </w:rPr>
        <w:t>When: Return earned on the asset base. — Tells: Net income per dollar invested in assets.</w:t>
      </w:r>
    </w:p>
    <w:p>
      <w:pPr>
        <w:bidi/>
        <w:spacing w:after="40"/>
      </w:pPr>
      <w:r>
        <w:t>متى: للعائد المكتسب على قاعدة الأصول. — تخبرك: صافي الدخل لكل دولار مستثمر في الأصول.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F26  </w:t>
      </w:r>
      <w:r>
        <w:rPr>
          <w:b/>
          <w:color w:val="0F4C81"/>
        </w:rPr>
        <w:t>Return on equity (ROE)</w:t>
      </w:r>
      <w:r>
        <w:rPr>
          <w:b/>
          <w:color w:val="B8860B"/>
        </w:rPr>
        <w:t xml:space="preserve">  ·  العائد على الحقوق</w:t>
      </w:r>
    </w:p>
    <w:p>
      <w:pPr>
        <w:spacing w:after="40"/>
        <w:ind w:left="283"/>
      </w:pPr>
      <w:r>
        <w:rPr>
          <w:rFonts w:ascii="Cambria" w:hAnsi="Cambria"/>
        </w:rPr>
        <w:t>ROE = (Net income) / (Average equity)</w:t>
      </w:r>
    </w:p>
    <w:p>
      <w:pPr>
        <w:spacing w:after="20"/>
      </w:pPr>
      <w:r>
        <w:rPr>
          <w:sz w:val="18"/>
        </w:rPr>
        <w:t>When: Return to the owners' capital. — Tells: Net income per equity dollar.</w:t>
      </w:r>
    </w:p>
    <w:p>
      <w:pPr>
        <w:bidi/>
        <w:spacing w:after="40"/>
      </w:pPr>
      <w:r>
        <w:t>متى: للعائد على رأس مال الملاك. — تخبرك: صافي الدخل لكل دولار حقوق.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F27  </w:t>
      </w:r>
      <w:r>
        <w:rPr>
          <w:b/>
          <w:color w:val="0F4C81"/>
        </w:rPr>
        <w:t>Price-earnings ratio</w:t>
      </w:r>
      <w:r>
        <w:rPr>
          <w:b/>
          <w:color w:val="B8860B"/>
        </w:rPr>
        <w:t xml:space="preserve">  ·  نسبة السعر إلى الربح</w:t>
      </w:r>
    </w:p>
    <w:p>
      <w:pPr>
        <w:spacing w:after="40"/>
        <w:ind w:left="283"/>
      </w:pPr>
      <w:r>
        <w:rPr>
          <w:rFonts w:ascii="Cambria" w:hAnsi="Cambria"/>
        </w:rPr>
        <w:t>P/E = (Market price per share) / EPS</w:t>
      </w:r>
    </w:p>
    <w:p>
      <w:pPr>
        <w:spacing w:after="20"/>
      </w:pPr>
      <w:r>
        <w:rPr>
          <w:sz w:val="18"/>
        </w:rPr>
        <w:t>When: Market valuation of earnings. — Tells: What investors pay per dollar of earnings.</w:t>
      </w:r>
    </w:p>
    <w:p>
      <w:pPr>
        <w:bidi/>
        <w:spacing w:after="40"/>
      </w:pPr>
      <w:r>
        <w:t>متى: لتقييم السوق للأرباح. — تخبرك: ما يدفعه المستثمرون لكل دولار أرباح.</w:t>
      </w:r>
    </w:p>
    <w:p>
      <w:pPr>
        <w:spacing w:after="40"/>
      </w:pPr>
    </w:p>
    <w:p>
      <w:pPr>
        <w:pStyle w:val="Heading2"/>
        <w:keepNext/>
        <w:pageBreakBefore/>
      </w:pPr>
      <w:r>
        <w:t>Chapter 5 — Stock Valuation · تقييم الأسهم</w:t>
      </w:r>
    </w:p>
    <w:p>
      <w:pPr>
        <w:keepNext/>
      </w:pPr>
      <w:r>
        <w:rPr>
          <w:b/>
          <w:color w:val="0F4C81"/>
        </w:rPr>
        <w:t xml:space="preserve">F28  </w:t>
      </w:r>
      <w:r>
        <w:rPr>
          <w:b/>
          <w:color w:val="0F4C81"/>
        </w:rPr>
        <w:t>Expected stock return</w:t>
      </w:r>
      <w:r>
        <w:rPr>
          <w:b/>
          <w:color w:val="B8860B"/>
        </w:rPr>
        <w:t xml:space="preserve">  ·  العائد المتوقع للسهم</w:t>
      </w:r>
    </w:p>
    <w:p>
      <w:pPr>
        <w:spacing w:after="40"/>
        <w:ind w:left="283"/>
      </w:pPr>
      <w:r>
        <w:rPr>
          <w:rFonts w:ascii="Cambria" w:hAnsi="Cambria"/>
        </w:rPr>
        <w:t>E(r) = D / P + g</w:t>
      </w:r>
    </w:p>
    <w:p>
      <w:pPr>
        <w:spacing w:after="20"/>
      </w:pPr>
      <w:r>
        <w:rPr>
          <w:color w:val="5C6B84"/>
          <w:sz w:val="18"/>
        </w:rPr>
        <w:t>D = Dividend / التوزيع; P = Price / السعر; g = Growth / النمو</w:t>
      </w:r>
    </w:p>
    <w:p>
      <w:pPr>
        <w:spacing w:after="20"/>
      </w:pPr>
      <w:r>
        <w:rPr>
          <w:sz w:val="18"/>
        </w:rPr>
        <w:t>When: Decomposing a stock's expected return. — Tells: Dividend yield plus growth.</w:t>
      </w:r>
    </w:p>
    <w:p>
      <w:pPr>
        <w:bidi/>
        <w:spacing w:after="40"/>
      </w:pPr>
      <w:r>
        <w:t>متى: لتفكيك العائد المتوقع للسهم. — تخبرك: عائد التوزيع زائد النمو.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F29  </w:t>
      </w:r>
      <w:r>
        <w:rPr>
          <w:b/>
          <w:color w:val="0F4C81"/>
        </w:rPr>
        <w:t>Zero-growth model</w:t>
      </w:r>
      <w:r>
        <w:rPr>
          <w:b/>
          <w:color w:val="B8860B"/>
        </w:rPr>
        <w:t xml:space="preserve">  ·  نموذج صفر النمو</w:t>
      </w:r>
    </w:p>
    <w:p>
      <w:pPr>
        <w:spacing w:after="40"/>
        <w:ind w:left="283"/>
      </w:pPr>
      <w:r>
        <w:rPr>
          <w:rFonts w:ascii="Cambria" w:hAnsi="Cambria"/>
        </w:rPr>
        <w:t>P0 = D1 / rs</w:t>
      </w:r>
    </w:p>
    <w:p>
      <w:pPr>
        <w:spacing w:after="20"/>
      </w:pPr>
      <w:r>
        <w:rPr>
          <w:color w:val="5C6B84"/>
          <w:sz w:val="18"/>
        </w:rPr>
        <w:t>rs = Required return / العائد المطلوب</w:t>
      </w:r>
    </w:p>
    <w:p>
      <w:pPr>
        <w:spacing w:after="20"/>
      </w:pPr>
      <w:r>
        <w:rPr>
          <w:sz w:val="18"/>
        </w:rPr>
        <w:t>When: Constant dividend forever (preferred-like). — Tells: Value of a frozen dividend stream.</w:t>
      </w:r>
    </w:p>
    <w:p>
      <w:pPr>
        <w:bidi/>
        <w:spacing w:after="40"/>
      </w:pPr>
      <w:r>
        <w:t>متى: لتوزيع ثابت للأبد (شبيه بالممتاز). — تخبرك: قيمة سلسلة توزيعات مجمدة.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F30  </w:t>
      </w:r>
      <w:r>
        <w:rPr>
          <w:b/>
          <w:color w:val="0F4C81"/>
        </w:rPr>
        <w:t>Constant-growth model (Gordon) ★</w:t>
      </w:r>
      <w:r>
        <w:rPr>
          <w:b/>
          <w:color w:val="B8860B"/>
        </w:rPr>
        <w:t xml:space="preserve">  ·  نموذج النمو الثابت (غوردون) ★</w:t>
      </w:r>
    </w:p>
    <w:p>
      <w:pPr>
        <w:spacing w:after="40"/>
        <w:ind w:left="283"/>
      </w:pPr>
      <w:r>
        <w:rPr>
          <w:rFonts w:ascii="Cambria" w:hAnsi="Cambria"/>
        </w:rPr>
        <w:t>P0 = D1 / (rs − g), D1 = D0(1+g)</w:t>
      </w:r>
    </w:p>
    <w:p>
      <w:pPr>
        <w:spacing w:after="20"/>
      </w:pPr>
      <w:r>
        <w:rPr>
          <w:sz w:val="18"/>
        </w:rPr>
        <w:t>When: Mature firm with steady dividend growth; needs rs &amp;gt; g. — Tells: Present value of a growing perpetuity of dividends.</w:t>
      </w:r>
    </w:p>
    <w:p>
      <w:pPr>
        <w:bidi/>
        <w:spacing w:after="40"/>
      </w:pPr>
      <w:r>
        <w:t>متى: لنشأة ناضجة بنمو توزيعات مطرد؛ يشترط rs &amp;gt; g. — تخبرك: القيمة الحالية لدخل دائم متنامٍ من التوزيعات.</w:t>
      </w:r>
    </w:p>
    <w:p>
      <w:pPr>
        <w:spacing w:after="40"/>
      </w:pPr>
    </w:p>
    <w:p>
      <w:pPr>
        <w:pStyle w:val="Heading2"/>
        <w:keepNext/>
        <w:pageBreakBefore/>
      </w:pPr>
      <w:r>
        <w:t>Chapter 6 — Risk, Return &amp; Portfolios · المخاطر والعائد والمحافظ</w:t>
      </w:r>
    </w:p>
    <w:p>
      <w:pPr>
        <w:keepNext/>
      </w:pPr>
      <w:r>
        <w:rPr>
          <w:b/>
          <w:color w:val="0F4C81"/>
        </w:rPr>
        <w:t xml:space="preserve">F31  </w:t>
      </w:r>
      <w:r>
        <w:rPr>
          <w:b/>
          <w:color w:val="0F4C81"/>
        </w:rPr>
        <w:t>Expected return (individual asset)</w:t>
      </w:r>
      <w:r>
        <w:rPr>
          <w:b/>
          <w:color w:val="B8860B"/>
        </w:rPr>
        <w:t xml:space="preserve">  ·  العائد المتوقع (أصل منفرد)</w:t>
      </w:r>
    </w:p>
    <w:p>
      <w:pPr>
        <w:spacing w:after="40"/>
        <w:ind w:left="283"/>
      </w:pPr>
      <w:r>
        <w:rPr>
          <w:rFonts w:ascii="Cambria" w:hAnsi="Cambria"/>
        </w:rPr>
        <w:t>E(R) = Σ Pi × Ri</w:t>
      </w:r>
    </w:p>
    <w:p>
      <w:pPr>
        <w:spacing w:after="20"/>
      </w:pPr>
      <w:r>
        <w:rPr>
          <w:color w:val="5C6B84"/>
          <w:sz w:val="18"/>
        </w:rPr>
        <w:t>Pi = Probability of state i / احتمال الحالة i; Ri = Return in state i / العائد في الحالة i</w:t>
      </w:r>
    </w:p>
    <w:p>
      <w:pPr>
        <w:spacing w:after="20"/>
      </w:pPr>
      <w:r>
        <w:rPr>
          <w:sz w:val="18"/>
        </w:rPr>
        <w:t>When: Returns differ across states of nature. — Tells: Probability-weighted average outcome.</w:t>
      </w:r>
    </w:p>
    <w:p>
      <w:pPr>
        <w:bidi/>
        <w:spacing w:after="40"/>
      </w:pPr>
      <w:r>
        <w:t>متى: عند اختلاف العوائد عبر حالات الطبيعة. — تخبرك: متوسط النتائج المرجح بالاحتمالات.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F32  </w:t>
      </w:r>
      <w:r>
        <w:rPr>
          <w:b/>
          <w:color w:val="0F4C81"/>
        </w:rPr>
        <w:t>Variance &amp; standard deviation</w:t>
      </w:r>
      <w:r>
        <w:rPr>
          <w:b/>
          <w:color w:val="B8860B"/>
        </w:rPr>
        <w:t xml:space="preserve">  ·  التباين والانحراف المعياري</w:t>
      </w:r>
    </w:p>
    <w:p>
      <w:pPr>
        <w:spacing w:after="40"/>
        <w:ind w:left="283"/>
      </w:pPr>
      <w:r>
        <w:rPr>
          <w:rFonts w:ascii="Cambria" w:hAnsi="Cambria"/>
        </w:rPr>
        <w:t>σ² = Σ Pi(Ri − E(R))² , σ = √σ²</w:t>
      </w:r>
    </w:p>
    <w:p>
      <w:pPr>
        <w:spacing w:after="20"/>
      </w:pPr>
      <w:r>
        <w:rPr>
          <w:sz w:val="18"/>
        </w:rPr>
        <w:t>When: Measuring total risk of one asset. — Tells: Dispersion of outcomes = total risk.</w:t>
      </w:r>
    </w:p>
    <w:p>
      <w:pPr>
        <w:bidi/>
        <w:spacing w:after="40"/>
      </w:pPr>
      <w:r>
        <w:t>متى: لقياس المخاطر الكلية لأصل واحد. — تخبرك: تشتت النتائج = المخاطر الكلية.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F33  </w:t>
      </w:r>
      <w:r>
        <w:rPr>
          <w:b/>
          <w:color w:val="0F4C81"/>
        </w:rPr>
        <w:t>Portfolio weights</w:t>
      </w:r>
      <w:r>
        <w:rPr>
          <w:b/>
          <w:color w:val="B8860B"/>
        </w:rPr>
        <w:t xml:space="preserve">  ·  أوزان المحفظة</w:t>
      </w:r>
    </w:p>
    <w:p>
      <w:pPr>
        <w:spacing w:after="40"/>
        <w:ind w:left="283"/>
      </w:pPr>
      <w:r>
        <w:rPr>
          <w:rFonts w:ascii="Cambria" w:hAnsi="Cambria"/>
        </w:rPr>
        <w:t>wi = (Amount in asset i) / (Total portfolio), Σw = 1</w:t>
      </w:r>
    </w:p>
    <w:p>
      <w:pPr>
        <w:spacing w:after="20"/>
      </w:pPr>
      <w:r>
        <w:rPr>
          <w:sz w:val="18"/>
        </w:rPr>
        <w:t>When: Before any portfolio computation. — Tells: Each asset's share of your money.</w:t>
      </w:r>
    </w:p>
    <w:p>
      <w:pPr>
        <w:bidi/>
        <w:spacing w:after="40"/>
      </w:pPr>
      <w:r>
        <w:t>متى: قبل أي حساب للمحفظة. — تخبرك: حصة كل أصل من أموالك.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F34  </w:t>
      </w:r>
      <w:r>
        <w:rPr>
          <w:b/>
          <w:color w:val="0F4C81"/>
        </w:rPr>
        <w:t>Portfolio expected return</w:t>
      </w:r>
      <w:r>
        <w:rPr>
          <w:b/>
          <w:color w:val="B8860B"/>
        </w:rPr>
        <w:t xml:space="preserve">  ·  العائد المتوقع للمحفظة</w:t>
      </w:r>
    </w:p>
    <w:p>
      <w:pPr>
        <w:spacing w:after="40"/>
        <w:ind w:left="283"/>
      </w:pPr>
      <w:r>
        <w:rPr>
          <w:rFonts w:ascii="Cambria" w:hAnsi="Cambria"/>
        </w:rPr>
        <w:t>E(Rp) = Σ wi × E(Ri)</w:t>
      </w:r>
    </w:p>
    <w:p>
      <w:pPr>
        <w:spacing w:after="20"/>
      </w:pPr>
      <w:r>
        <w:rPr>
          <w:sz w:val="18"/>
        </w:rPr>
        <w:t>When: Return of a group of assets. — Tells: Weighted average of individual returns.</w:t>
      </w:r>
    </w:p>
    <w:p>
      <w:pPr>
        <w:bidi/>
        <w:spacing w:after="40"/>
      </w:pPr>
      <w:r>
        <w:t>متى: لعائد مجموعة أصول. — تخبرك: متوسط مرجح للعوائد الفردية.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F35  </w:t>
      </w:r>
      <w:r>
        <w:rPr>
          <w:b/>
          <w:color w:val="0F4C81"/>
        </w:rPr>
        <w:t>Two-asset portfolio σ ★</w:t>
      </w:r>
      <w:r>
        <w:rPr>
          <w:b/>
          <w:color w:val="B8860B"/>
        </w:rPr>
        <w:t xml:space="preserve">  ·  σ لمحفظة أصلين ★</w:t>
      </w:r>
    </w:p>
    <w:p>
      <w:pPr>
        <w:spacing w:after="40"/>
        <w:ind w:left="283"/>
      </w:pPr>
      <w:r>
        <w:rPr>
          <w:rFonts w:ascii="Cambria" w:hAnsi="Cambria"/>
        </w:rPr>
        <w:t>σp = √(w1²σ1² + w2²σ2² + 2w1w2ρ1,2σ1σ2)</w:t>
      </w:r>
    </w:p>
    <w:p>
      <w:pPr>
        <w:spacing w:after="20"/>
      </w:pPr>
      <w:r>
        <w:rPr>
          <w:color w:val="5C6B84"/>
          <w:sz w:val="18"/>
        </w:rPr>
        <w:t>ρ = Correlation coefficient / معامل الارتباط</w:t>
      </w:r>
    </w:p>
    <w:p>
      <w:pPr>
        <w:spacing w:after="20"/>
      </w:pPr>
      <w:r>
        <w:rPr>
          <w:sz w:val="18"/>
        </w:rPr>
        <w:t>When: Risk of a two-asset portfolio. — Tells: How correlation shrinks combined risk.</w:t>
      </w:r>
    </w:p>
    <w:p>
      <w:pPr>
        <w:bidi/>
        <w:spacing w:after="40"/>
      </w:pPr>
      <w:r>
        <w:t>متى: لمخاطر محفظة من أصلين. — تخبرك: كيف يقلص الارتباط المخاطر المجمعة.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F36  </w:t>
      </w:r>
      <w:r>
        <w:rPr>
          <w:b/>
          <w:color w:val="0F4C81"/>
        </w:rPr>
        <w:t>Portfolio beta</w:t>
      </w:r>
      <w:r>
        <w:rPr>
          <w:b/>
          <w:color w:val="B8860B"/>
        </w:rPr>
        <w:t xml:space="preserve">  ·  بيتا المحفظة</w:t>
      </w:r>
    </w:p>
    <w:p>
      <w:pPr>
        <w:spacing w:after="40"/>
        <w:ind w:left="283"/>
      </w:pPr>
      <w:r>
        <w:rPr>
          <w:rFonts w:ascii="Cambria" w:hAnsi="Cambria"/>
        </w:rPr>
        <w:t>βp = Σ wi × βi</w:t>
      </w:r>
    </w:p>
    <w:p>
      <w:pPr>
        <w:spacing w:after="20"/>
      </w:pPr>
      <w:r>
        <w:rPr>
          <w:sz w:val="18"/>
        </w:rPr>
        <w:t>When: Systematic risk of a portfolio. — Tells: Market sensitivity of the bundle.</w:t>
      </w:r>
    </w:p>
    <w:p>
      <w:pPr>
        <w:bidi/>
        <w:spacing w:after="40"/>
      </w:pPr>
      <w:r>
        <w:t>متى: للمخاطر النظامية لمحفظة. — تخبرك: حساسية الحزمة للسوق.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F37  </w:t>
      </w:r>
      <w:r>
        <w:rPr>
          <w:b/>
          <w:color w:val="0F4C81"/>
        </w:rPr>
        <w:t>CAPM ★</w:t>
      </w:r>
      <w:r>
        <w:rPr>
          <w:b/>
          <w:color w:val="B8860B"/>
        </w:rPr>
        <w:t xml:space="preserve">  ·  CAPM ★</w:t>
      </w:r>
    </w:p>
    <w:p>
      <w:pPr>
        <w:spacing w:after="40"/>
        <w:ind w:left="283"/>
      </w:pPr>
      <w:r>
        <w:rPr>
          <w:rFonts w:ascii="Cambria" w:hAnsi="Cambria"/>
        </w:rPr>
        <w:t>Re = Rf + β (Rm − Rf)</w:t>
      </w:r>
    </w:p>
    <w:p>
      <w:pPr>
        <w:spacing w:after="20"/>
      </w:pPr>
      <w:r>
        <w:rPr>
          <w:color w:val="5C6B84"/>
          <w:sz w:val="18"/>
        </w:rPr>
        <w:t>Rf = Risk-free rate / المعدل الخالي من المخاطر; Rm = Expected market return / العائد المتوقع للسوق</w:t>
      </w:r>
    </w:p>
    <w:p>
      <w:pPr>
        <w:spacing w:after="20"/>
      </w:pPr>
      <w:r>
        <w:rPr>
          <w:sz w:val="18"/>
        </w:rPr>
        <w:t>When: Required return / cost of equity from beta. — Tells: The price of systematic risk.</w:t>
      </w:r>
    </w:p>
    <w:p>
      <w:pPr>
        <w:bidi/>
        <w:spacing w:after="40"/>
      </w:pPr>
      <w:r>
        <w:t>متى: للعائد المطلوب/تكلفة الملكية من بيتا. — تخبرك: سعر المخاطرة النظامية.</w:t>
      </w:r>
    </w:p>
    <w:p>
      <w:pPr>
        <w:spacing w:after="40"/>
      </w:pPr>
    </w:p>
    <w:p>
      <w:pPr>
        <w:pStyle w:val="Heading2"/>
        <w:keepNext/>
        <w:pageBreakBefore/>
      </w:pPr>
      <w:r>
        <w:t>Chapter 7 — Time Value of Money &amp; Bond Valuation · القيمة الزمنية للنقد وتقييم السندات</w:t>
      </w:r>
    </w:p>
    <w:p>
      <w:pPr>
        <w:keepNext/>
      </w:pPr>
      <w:r>
        <w:rPr>
          <w:b/>
          <w:color w:val="0F4C81"/>
        </w:rPr>
        <w:t xml:space="preserve">F38  </w:t>
      </w:r>
      <w:r>
        <w:rPr>
          <w:b/>
          <w:color w:val="0F4C81"/>
        </w:rPr>
        <w:t>Future value — simple interest</w:t>
      </w:r>
      <w:r>
        <w:rPr>
          <w:b/>
          <w:color w:val="B8860B"/>
        </w:rPr>
        <w:t xml:space="preserve">  ·  القيمة المستقبلية — فائدة بسيطة</w:t>
      </w:r>
    </w:p>
    <w:p>
      <w:pPr>
        <w:spacing w:after="40"/>
        <w:ind w:left="283"/>
      </w:pPr>
      <w:r>
        <w:rPr>
          <w:rFonts w:ascii="Cambria" w:hAnsi="Cambria"/>
        </w:rPr>
        <w:t>FV = PV × (1 + r·n)</w:t>
      </w:r>
    </w:p>
    <w:p>
      <w:pPr>
        <w:spacing w:after="20"/>
      </w:pPr>
      <w:r>
        <w:rPr>
          <w:sz w:val="18"/>
        </w:rPr>
        <w:t>When: Interest on principal only. — Tells: Value after n years without compounding.</w:t>
      </w:r>
    </w:p>
    <w:p>
      <w:pPr>
        <w:bidi/>
        <w:spacing w:after="40"/>
      </w:pPr>
      <w:r>
        <w:t>متى: عندما تكون الفائدة على الأصل فقط. — تخبرك: القيمة بعد n سنين دون تركيب.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F39  </w:t>
      </w:r>
      <w:r>
        <w:rPr>
          <w:b/>
          <w:color w:val="0F4C81"/>
        </w:rPr>
        <w:t>Present value — simple interest</w:t>
      </w:r>
      <w:r>
        <w:rPr>
          <w:b/>
          <w:color w:val="B8860B"/>
        </w:rPr>
        <w:t xml:space="preserve">  ·  القيمة الحالية — فائدة بسيطة</w:t>
      </w:r>
    </w:p>
    <w:p>
      <w:pPr>
        <w:spacing w:after="40"/>
        <w:ind w:left="283"/>
      </w:pPr>
      <w:r>
        <w:rPr>
          <w:rFonts w:ascii="Cambria" w:hAnsi="Cambria"/>
        </w:rPr>
        <w:t>PV = FV / (1 + r·n)</w:t>
      </w:r>
    </w:p>
    <w:p>
      <w:pPr>
        <w:spacing w:after="20"/>
      </w:pPr>
      <w:r>
        <w:rPr>
          <w:sz w:val="18"/>
        </w:rPr>
        <w:t>When: Discounting under simple interest. — Tells: Today's worth of a simple-interest future amount.</w:t>
      </w:r>
    </w:p>
    <w:p>
      <w:pPr>
        <w:bidi/>
        <w:spacing w:after="40"/>
      </w:pPr>
      <w:r>
        <w:t>متى: للخصم بفائدة بسيطة. — تخبرك: قيمة اليوم لمبلغ مستقبلي بفائدة بسيطة.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F40  </w:t>
      </w:r>
      <w:r>
        <w:rPr>
          <w:b/>
          <w:color w:val="0F4C81"/>
        </w:rPr>
        <w:t>Future value — compound</w:t>
      </w:r>
      <w:r>
        <w:rPr>
          <w:b/>
          <w:color w:val="B8860B"/>
        </w:rPr>
        <w:t xml:space="preserve">  ·  القيمة المستقبلية — مركبة</w:t>
      </w:r>
    </w:p>
    <w:p>
      <w:pPr>
        <w:spacing w:after="40"/>
        <w:ind w:left="283"/>
      </w:pPr>
      <w:r>
        <w:rPr>
          <w:rFonts w:ascii="Cambria" w:hAnsi="Cambria"/>
        </w:rPr>
        <w:t>FV = PV × (1 + r)ⁿ</w:t>
      </w:r>
    </w:p>
    <w:p>
      <w:pPr>
        <w:spacing w:after="20"/>
      </w:pPr>
      <w:r>
        <w:rPr>
          <w:sz w:val="18"/>
        </w:rPr>
        <w:t>When: Interest earns interest. — Tells: Growth of money under compounding.</w:t>
      </w:r>
    </w:p>
    <w:p>
      <w:pPr>
        <w:bidi/>
        <w:spacing w:after="40"/>
      </w:pPr>
      <w:r>
        <w:t>متى: عندما تكسب الفائدة فائدة. — تخبرك: نمو المال تحت التركيب.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F41  </w:t>
      </w:r>
      <w:r>
        <w:rPr>
          <w:b/>
          <w:color w:val="0F4C81"/>
        </w:rPr>
        <w:t>Present value — compound</w:t>
      </w:r>
      <w:r>
        <w:rPr>
          <w:b/>
          <w:color w:val="B8860B"/>
        </w:rPr>
        <w:t xml:space="preserve">  ·  القيمة الحالية — مركبة</w:t>
      </w:r>
    </w:p>
    <w:p>
      <w:pPr>
        <w:spacing w:after="40"/>
        <w:ind w:left="283"/>
      </w:pPr>
      <w:r>
        <w:rPr>
          <w:rFonts w:ascii="Cambria" w:hAnsi="Cambria"/>
        </w:rPr>
        <w:t>PV = FV / ((1 + r)ⁿ)</w:t>
      </w:r>
    </w:p>
    <w:p>
      <w:pPr>
        <w:spacing w:after="20"/>
      </w:pPr>
      <w:r>
        <w:rPr>
          <w:sz w:val="18"/>
        </w:rPr>
        <w:t>When: Core discounting operation. — Tells: What a future sum is worth today.</w:t>
      </w:r>
    </w:p>
    <w:p>
      <w:pPr>
        <w:bidi/>
        <w:spacing w:after="40"/>
      </w:pPr>
      <w:r>
        <w:t>متى: عملية الخصم الأساسية. — تخبرك: قيمة مبلغ مستقبلي اليوم.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F42  </w:t>
      </w:r>
      <w:r>
        <w:rPr>
          <w:b/>
          <w:color w:val="0F4C81"/>
        </w:rPr>
        <w:t>FV of ordinary annuity</w:t>
      </w:r>
      <w:r>
        <w:rPr>
          <w:b/>
          <w:color w:val="B8860B"/>
        </w:rPr>
        <w:t xml:space="preserve">  ·  القيمة المستقبلية لدفعات عادية</w:t>
      </w:r>
    </w:p>
    <w:p>
      <w:pPr>
        <w:spacing w:after="40"/>
        <w:ind w:left="283"/>
      </w:pPr>
      <w:r>
        <w:rPr>
          <w:rFonts w:ascii="Cambria" w:hAnsi="Cambria"/>
        </w:rPr>
        <w:t>FV = PMT × ((1 + r)ⁿ − 1) / r</w:t>
      </w:r>
    </w:p>
    <w:p>
      <w:pPr>
        <w:spacing w:after="20"/>
      </w:pPr>
      <w:r>
        <w:rPr>
          <w:color w:val="5C6B84"/>
          <w:sz w:val="18"/>
        </w:rPr>
        <w:t>PMT = End-of-year payment / دفعة نهاية السنة</w:t>
      </w:r>
    </w:p>
    <w:p>
      <w:pPr>
        <w:spacing w:after="20"/>
      </w:pPr>
      <w:r>
        <w:rPr>
          <w:sz w:val="18"/>
        </w:rPr>
        <w:t>When: Saving equal amounts each year. — Tells: Accumulated value of the payment stream.</w:t>
      </w:r>
    </w:p>
    <w:p>
      <w:pPr>
        <w:bidi/>
        <w:spacing w:after="40"/>
      </w:pPr>
      <w:r>
        <w:t>متى: عند ادخار مبالغ متساوية سنويًا. — تخبرك: القيمة المتراكمة لسلسلة الدفعات.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F43  </w:t>
      </w:r>
      <w:r>
        <w:rPr>
          <w:b/>
          <w:color w:val="0F4C81"/>
        </w:rPr>
        <w:t>PV of ordinary annuity</w:t>
      </w:r>
      <w:r>
        <w:rPr>
          <w:b/>
          <w:color w:val="B8860B"/>
        </w:rPr>
        <w:t xml:space="preserve">  ·  القيمة الحالية لدفعات عادية</w:t>
      </w:r>
    </w:p>
    <w:p>
      <w:pPr>
        <w:spacing w:after="40"/>
        <w:ind w:left="283"/>
      </w:pPr>
      <w:r>
        <w:rPr>
          <w:rFonts w:ascii="Cambria" w:hAnsi="Cambria"/>
        </w:rPr>
        <w:t>PV = PMT × (1 − (1 + r)^−n) / r</w:t>
      </w:r>
    </w:p>
    <w:p>
      <w:pPr>
        <w:spacing w:after="20"/>
      </w:pPr>
      <w:r>
        <w:rPr>
          <w:sz w:val="18"/>
        </w:rPr>
        <w:t>When: Valuing equal future payments today. — Tells: Today's worth of the payment stream.</w:t>
      </w:r>
    </w:p>
    <w:p>
      <w:pPr>
        <w:bidi/>
        <w:spacing w:after="40"/>
      </w:pPr>
      <w:r>
        <w:t>متى: لتقييم دفعات مستقبلية متساوية اليوم. — تخبرك: قيمة سلسلة الدفعات اليوم.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F44  </w:t>
      </w:r>
      <w:r>
        <w:rPr>
          <w:b/>
          <w:color w:val="0F4C81"/>
        </w:rPr>
        <w:t>Current yield (bond)</w:t>
      </w:r>
      <w:r>
        <w:rPr>
          <w:b/>
          <w:color w:val="B8860B"/>
        </w:rPr>
        <w:t xml:space="preserve">  ·  العائد الجاري (السند)</w:t>
      </w:r>
    </w:p>
    <w:p>
      <w:pPr>
        <w:spacing w:after="40"/>
        <w:ind w:left="283"/>
      </w:pPr>
      <w:r>
        <w:rPr>
          <w:rFonts w:ascii="Cambria" w:hAnsi="Cambria"/>
        </w:rPr>
        <w:t>CY = (Annual interest payment) / (Current market price)</w:t>
      </w:r>
    </w:p>
    <w:p>
      <w:pPr>
        <w:spacing w:after="20"/>
      </w:pPr>
      <w:r>
        <w:rPr>
          <w:sz w:val="18"/>
        </w:rPr>
        <w:t>When: Coupon return at today's price. — Tells: Income yield ignoring principal repayment.</w:t>
      </w:r>
    </w:p>
    <w:p>
      <w:pPr>
        <w:bidi/>
        <w:spacing w:after="40"/>
      </w:pPr>
      <w:r>
        <w:t>متى: لعائد الكوبون بسعر اليوم. — تخبرك: عائد الدخل متجاهلًا سداد الأصل.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F45  </w:t>
      </w:r>
      <w:r>
        <w:rPr>
          <w:b/>
          <w:color w:val="0F4C81"/>
        </w:rPr>
        <w:t>Accrued interest</w:t>
      </w:r>
      <w:r>
        <w:rPr>
          <w:b/>
          <w:color w:val="B8860B"/>
        </w:rPr>
        <w:t xml:space="preserve">  ·  الفائدة المستحقة</w:t>
      </w:r>
    </w:p>
    <w:p>
      <w:pPr>
        <w:spacing w:after="40"/>
        <w:ind w:left="283"/>
      </w:pPr>
      <w:r>
        <w:rPr>
          <w:rFonts w:ascii="Cambria" w:hAnsi="Cambria"/>
        </w:rPr>
        <w:t>AI = (Months since payment) / 12 × Annual coupon</w:t>
      </w:r>
    </w:p>
    <w:p>
      <w:pPr>
        <w:spacing w:after="20"/>
      </w:pPr>
      <w:r>
        <w:rPr>
          <w:sz w:val="18"/>
        </w:rPr>
        <w:t>When: Trading a bond between coupon dates. — Tells: Interest earned by the seller so far.</w:t>
      </w:r>
    </w:p>
    <w:p>
      <w:pPr>
        <w:bidi/>
        <w:spacing w:after="40"/>
      </w:pPr>
      <w:r>
        <w:t>متى: عند تداول السند بين مواعيد الكوبون. — تخبرك: الفائدة المكتسبة للبائع حتى الآن.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F46  </w:t>
      </w:r>
      <w:r>
        <w:rPr>
          <w:b/>
          <w:color w:val="0F4C81"/>
        </w:rPr>
        <w:t>Floating loan rate</w:t>
      </w:r>
      <w:r>
        <w:rPr>
          <w:b/>
          <w:color w:val="B8860B"/>
        </w:rPr>
        <w:t xml:space="preserve">  ·  معدل القرض العائم</w:t>
      </w:r>
    </w:p>
    <w:p>
      <w:pPr>
        <w:spacing w:after="40"/>
        <w:ind w:left="283"/>
      </w:pPr>
      <w:r>
        <w:rPr>
          <w:rFonts w:ascii="Cambria" w:hAnsi="Cambria"/>
        </w:rPr>
        <w:t>Ratet = Indext−1 + spread (cap / floor)</w:t>
      </w:r>
    </w:p>
    <w:p>
      <w:pPr>
        <w:spacing w:after="20"/>
      </w:pPr>
      <w:r>
        <w:rPr>
          <w:sz w:val="18"/>
        </w:rPr>
        <w:t>When: Indexed loans (e.g. LIBOR + basis points). — Tells: This period's rate from last period's index.</w:t>
      </w:r>
    </w:p>
    <w:p>
      <w:pPr>
        <w:bidi/>
        <w:spacing w:after="40"/>
      </w:pPr>
      <w:r>
        <w:t>متى: للقروض المفهرسة (مثل LIBOR + نقاط أساس). — تخبرك: معدل هذه الفترة من مؤشر الفترة السابقة.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F47  </w:t>
      </w:r>
      <w:r>
        <w:rPr>
          <w:b/>
          <w:color w:val="0F4C81"/>
        </w:rPr>
        <w:t>Bond value ★</w:t>
      </w:r>
      <w:r>
        <w:rPr>
          <w:b/>
          <w:color w:val="B8860B"/>
        </w:rPr>
        <w:t xml:space="preserve">  ·  قيمة السند ★</w:t>
      </w:r>
    </w:p>
    <w:p>
      <w:pPr>
        <w:spacing w:after="40"/>
        <w:ind w:left="283"/>
      </w:pPr>
      <w:r>
        <w:rPr>
          <w:rFonts w:ascii="Cambria" w:hAnsi="Cambria"/>
        </w:rPr>
        <w:t>B0 = C × (1 − (1 + r)^−n) / r + Par / ((1 + r)ⁿ)</w:t>
      </w:r>
    </w:p>
    <w:p>
      <w:pPr>
        <w:spacing w:after="20"/>
      </w:pPr>
      <w:r>
        <w:rPr>
          <w:color w:val="5C6B84"/>
          <w:sz w:val="18"/>
        </w:rPr>
        <w:t>C = Annual coupon = rate × par / الكوبون السنوي = المعدل × الاسمي; r = Market required yield / العائد المطلوب سوقيًا</w:t>
      </w:r>
    </w:p>
    <w:p>
      <w:pPr>
        <w:spacing w:after="20"/>
      </w:pPr>
      <w:r>
        <w:rPr>
          <w:sz w:val="18"/>
        </w:rPr>
        <w:t>When: Valuing any coupon bond. — Tells: PV of coupons + PV of par.</w:t>
      </w:r>
    </w:p>
    <w:p>
      <w:pPr>
        <w:bidi/>
        <w:spacing w:after="40"/>
      </w:pPr>
      <w:r>
        <w:t>متى: لتقييم أي سند كوبون. — تخبرك: القيمة الحالية للكوبونات + القيمة الحالية للاسمي.</w:t>
      </w:r>
    </w:p>
    <w:p>
      <w:pPr>
        <w:spacing w:after="40"/>
      </w:pPr>
    </w:p>
    <w:p>
      <w:pPr>
        <w:pStyle w:val="Heading2"/>
        <w:keepNext/>
        <w:pageBreakBefore/>
      </w:pPr>
      <w:r>
        <w:t>Chapter 8 — Capital Budgeting · الموازنة الرأسمالية</w:t>
      </w:r>
    </w:p>
    <w:p>
      <w:pPr>
        <w:keepNext/>
      </w:pPr>
      <w:r>
        <w:rPr>
          <w:b/>
          <w:color w:val="0F4C81"/>
        </w:rPr>
        <w:t xml:space="preserve">F48  </w:t>
      </w:r>
      <w:r>
        <w:rPr>
          <w:b/>
          <w:color w:val="0F4C81"/>
        </w:rPr>
        <w:t>Payback — constant inflow</w:t>
      </w:r>
      <w:r>
        <w:rPr>
          <w:b/>
          <w:color w:val="B8860B"/>
        </w:rPr>
        <w:t xml:space="preserve">  ·  الاسترداد — تدفق ثابت</w:t>
      </w:r>
    </w:p>
    <w:p>
      <w:pPr>
        <w:spacing w:after="40"/>
        <w:ind w:left="283"/>
      </w:pPr>
      <w:r>
        <w:rPr>
          <w:rFonts w:ascii="Cambria" w:hAnsi="Cambria"/>
        </w:rPr>
        <w:t>PBP = (Initial investment) / (Annual fixed cash inflow)</w:t>
      </w:r>
    </w:p>
    <w:p>
      <w:pPr>
        <w:spacing w:after="20"/>
      </w:pPr>
      <w:r>
        <w:rPr>
          <w:sz w:val="18"/>
        </w:rPr>
        <w:t>When: Equal yearly inflows. — Tells: Years to recover the outlay.</w:t>
      </w:r>
    </w:p>
    <w:p>
      <w:pPr>
        <w:bidi/>
        <w:spacing w:after="40"/>
      </w:pPr>
      <w:r>
        <w:t>متى: لتدفقات سنوية متساوية. — تخبرك: سنون استرداد الإنفاق.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F49  </w:t>
      </w:r>
      <w:r>
        <w:rPr>
          <w:b/>
          <w:color w:val="0F4C81"/>
        </w:rPr>
        <w:t>Payback — variable inflow</w:t>
      </w:r>
      <w:r>
        <w:rPr>
          <w:b/>
          <w:color w:val="B8860B"/>
        </w:rPr>
        <w:t xml:space="preserve">  ·  الاسترداد — تدفق متغير</w:t>
      </w:r>
    </w:p>
    <w:p>
      <w:pPr>
        <w:spacing w:after="40"/>
        <w:ind w:left="283"/>
      </w:pPr>
      <w:r>
        <w:rPr>
          <w:rFonts w:ascii="Cambria" w:hAnsi="Cambria"/>
        </w:rPr>
        <w:t>PBP = Completed years + (Remaining outflow) / (Cash inflow of year t)</w:t>
      </w:r>
    </w:p>
    <w:p>
      <w:pPr>
        <w:spacing w:after="20"/>
      </w:pPr>
      <w:r>
        <w:rPr>
          <w:sz w:val="18"/>
        </w:rPr>
        <w:t>When: Uneven yearly inflows. — Tells: Exact recovery time with a fractional year.</w:t>
      </w:r>
    </w:p>
    <w:p>
      <w:pPr>
        <w:bidi/>
        <w:spacing w:after="40"/>
      </w:pPr>
      <w:r>
        <w:t>متى: لتدفقات سنوية غير منتظمة. — تخبرك: زمن الاسترداد الدقيق بكسر سنة.</w:t>
      </w:r>
    </w:p>
    <w:p>
      <w:pPr>
        <w:spacing w:after="40"/>
      </w:pPr>
    </w:p>
    <w:p>
      <w:pPr>
        <w:keepNext/>
      </w:pPr>
      <w:r>
        <w:rPr>
          <w:b/>
          <w:color w:val="0F4C81"/>
        </w:rPr>
        <w:t xml:space="preserve">F50  </w:t>
      </w:r>
      <w:r>
        <w:rPr>
          <w:b/>
          <w:color w:val="0F4C81"/>
        </w:rPr>
        <w:t>Average rate of return</w:t>
      </w:r>
      <w:r>
        <w:rPr>
          <w:b/>
          <w:color w:val="B8860B"/>
        </w:rPr>
        <w:t xml:space="preserve">  ·  معدل العائد المتوسط</w:t>
      </w:r>
    </w:p>
    <w:p>
      <w:pPr>
        <w:spacing w:after="40"/>
        <w:ind w:left="283"/>
      </w:pPr>
      <w:r>
        <w:rPr>
          <w:rFonts w:ascii="Cambria" w:hAnsi="Cambria"/>
        </w:rPr>
        <w:t>ARR = (Average profit after tax) / (Average investment) or ÷ Initial investment</w:t>
      </w:r>
    </w:p>
    <w:p>
      <w:pPr>
        <w:spacing w:after="20"/>
      </w:pPr>
      <w:r>
        <w:rPr>
          <w:sz w:val="18"/>
        </w:rPr>
        <w:t>When: Accounting-based project screen. — Tells: Average annual earning of the project.</w:t>
      </w:r>
    </w:p>
    <w:p>
      <w:pPr>
        <w:bidi/>
        <w:spacing w:after="40"/>
      </w:pPr>
      <w:r>
        <w:t>متى: لغربلة المشروعات على أساس محاسبي. — تخبرك: متوسط الكسب السنوي للمشروع.</w:t>
      </w:r>
    </w:p>
    <w:p>
      <w:pPr>
        <w:spacing w:after="40"/>
      </w:pPr>
    </w:p>
    <w:p>
      <w:pPr>
        <w:pStyle w:val="Heading1"/>
        <w:pageBreakBefore/>
      </w:pPr>
      <w:r>
        <w:t>B · Abbreviations — الاختصارات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rPr>
          <w:tblHeader/>
        </w:trPr>
        <w:tc>
          <w:tcPr>
            <w:tcW w:type="dxa" w:w="2064"/>
          </w:tcPr>
          <w:p>
            <w:r>
              <w:rPr>
                <w:b/>
              </w:rPr>
              <w:t>#</w:t>
            </w:r>
          </w:p>
        </w:tc>
        <w:tc>
          <w:tcPr>
            <w:tcW w:type="dxa" w:w="2064"/>
          </w:tcPr>
          <w:p>
            <w:r>
              <w:rPr>
                <w:b/>
              </w:rPr>
              <w:t>Abbr.</w:t>
            </w:r>
          </w:p>
        </w:tc>
        <w:tc>
          <w:tcPr>
            <w:tcW w:type="dxa" w:w="2064"/>
          </w:tcPr>
          <w:p>
            <w:r>
              <w:rPr>
                <w:b/>
              </w:rPr>
              <w:t>Full name (English)</w:t>
            </w:r>
          </w:p>
        </w:tc>
        <w:tc>
          <w:tcPr>
            <w:tcW w:type="dxa" w:w="2064"/>
          </w:tcPr>
          <w:p>
            <w:r>
              <w:rPr>
                <w:b/>
              </w:rPr>
              <w:t>بالعربية</w:t>
            </w:r>
          </w:p>
        </w:tc>
        <w:tc>
          <w:tcPr>
            <w:tcW w:type="dxa" w:w="2064"/>
          </w:tcPr>
          <w:p>
            <w:r>
              <w:rPr>
                <w:b/>
              </w:rPr>
              <w:t>Lesson</w:t>
            </w:r>
          </w:p>
        </w:tc>
      </w:tr>
      <w:tr>
        <w:tc>
          <w:tcPr>
            <w:tcW w:type="dxa" w:w="2064"/>
          </w:tcPr>
          <w:p>
            <w:r>
              <w:t>A01</w:t>
            </w:r>
          </w:p>
        </w:tc>
        <w:tc>
          <w:tcPr>
            <w:tcW w:type="dxa" w:w="2064"/>
          </w:tcPr>
          <w:p>
            <w:r>
              <w:t>EPS</w:t>
            </w:r>
          </w:p>
        </w:tc>
        <w:tc>
          <w:tcPr>
            <w:tcW w:type="dxa" w:w="2064"/>
          </w:tcPr>
          <w:p>
            <w:r>
              <w:t>Earnings per Share</w:t>
            </w:r>
          </w:p>
        </w:tc>
        <w:tc>
          <w:tcPr>
            <w:tcW w:type="dxa" w:w="2064"/>
          </w:tcPr>
          <w:p>
            <w:pPr>
              <w:bidi/>
            </w:pPr>
            <w:r>
              <w:t>ربحية السهم</w:t>
            </w:r>
          </w:p>
        </w:tc>
        <w:tc>
          <w:tcPr>
            <w:tcW w:type="dxa" w:w="2064"/>
          </w:tcPr>
          <w:p>
            <w:r>
              <w:t>1</w:t>
            </w:r>
          </w:p>
        </w:tc>
      </w:tr>
      <w:tr>
        <w:tc>
          <w:tcPr>
            <w:tcW w:type="dxa" w:w="2064"/>
          </w:tcPr>
          <w:p>
            <w:r>
              <w:t>A02</w:t>
            </w:r>
          </w:p>
        </w:tc>
        <w:tc>
          <w:tcPr>
            <w:tcW w:type="dxa" w:w="2064"/>
          </w:tcPr>
          <w:p>
            <w:r>
              <w:t>IFRS</w:t>
            </w:r>
          </w:p>
        </w:tc>
        <w:tc>
          <w:tcPr>
            <w:tcW w:type="dxa" w:w="2064"/>
          </w:tcPr>
          <w:p>
            <w:r>
              <w:t>International Financial Reporting Standards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المعايير الدولية للتقرير المالي</w:t>
            </w:r>
          </w:p>
        </w:tc>
        <w:tc>
          <w:tcPr>
            <w:tcW w:type="dxa" w:w="2064"/>
          </w:tcPr>
          <w:p>
            <w:r>
              <w:t>1</w:t>
            </w:r>
          </w:p>
        </w:tc>
      </w:tr>
      <w:tr>
        <w:tc>
          <w:tcPr>
            <w:tcW w:type="dxa" w:w="2064"/>
          </w:tcPr>
          <w:p>
            <w:r>
              <w:t>A03</w:t>
            </w:r>
          </w:p>
        </w:tc>
        <w:tc>
          <w:tcPr>
            <w:tcW w:type="dxa" w:w="2064"/>
          </w:tcPr>
          <w:p>
            <w:r>
              <w:t>GAAP</w:t>
            </w:r>
          </w:p>
        </w:tc>
        <w:tc>
          <w:tcPr>
            <w:tcW w:type="dxa" w:w="2064"/>
          </w:tcPr>
          <w:p>
            <w:r>
              <w:t>Generally Accepted Accounting Principles</w:t>
            </w:r>
          </w:p>
        </w:tc>
        <w:tc>
          <w:tcPr>
            <w:tcW w:type="dxa" w:w="2064"/>
          </w:tcPr>
          <w:p>
            <w:pPr>
              <w:bidi/>
            </w:pPr>
            <w:r>
              <w:t>مبادئ المحاسبة المقبولة عمومًا</w:t>
            </w:r>
          </w:p>
        </w:tc>
        <w:tc>
          <w:tcPr>
            <w:tcW w:type="dxa" w:w="2064"/>
          </w:tcPr>
          <w:p>
            <w:r>
              <w:t>1</w:t>
            </w:r>
          </w:p>
        </w:tc>
      </w:tr>
      <w:tr>
        <w:tc>
          <w:tcPr>
            <w:tcW w:type="dxa" w:w="2064"/>
          </w:tcPr>
          <w:p>
            <w:r>
              <w:t>A04</w:t>
            </w:r>
          </w:p>
        </w:tc>
        <w:tc>
          <w:tcPr>
            <w:tcW w:type="dxa" w:w="2064"/>
          </w:tcPr>
          <w:p>
            <w:r>
              <w:t>GP</w:t>
            </w:r>
          </w:p>
        </w:tc>
        <w:tc>
          <w:tcPr>
            <w:tcW w:type="dxa" w:w="2064"/>
          </w:tcPr>
          <w:p>
            <w:r>
              <w:t>General Partner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الشريك العام</w:t>
            </w:r>
          </w:p>
        </w:tc>
        <w:tc>
          <w:tcPr>
            <w:tcW w:type="dxa" w:w="2064"/>
          </w:tcPr>
          <w:p>
            <w:r>
              <w:t>1</w:t>
            </w:r>
          </w:p>
        </w:tc>
      </w:tr>
      <w:tr>
        <w:tc>
          <w:tcPr>
            <w:tcW w:type="dxa" w:w="2064"/>
          </w:tcPr>
          <w:p>
            <w:r>
              <w:t>A05</w:t>
            </w:r>
          </w:p>
        </w:tc>
        <w:tc>
          <w:tcPr>
            <w:tcW w:type="dxa" w:w="2064"/>
          </w:tcPr>
          <w:p>
            <w:r>
              <w:t>LP</w:t>
            </w:r>
          </w:p>
        </w:tc>
        <w:tc>
          <w:tcPr>
            <w:tcW w:type="dxa" w:w="2064"/>
          </w:tcPr>
          <w:p>
            <w:r>
              <w:t>Limited Partner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الشريك المحدود</w:t>
            </w:r>
          </w:p>
        </w:tc>
        <w:tc>
          <w:tcPr>
            <w:tcW w:type="dxa" w:w="2064"/>
          </w:tcPr>
          <w:p>
            <w:r>
              <w:t>1</w:t>
            </w:r>
          </w:p>
        </w:tc>
      </w:tr>
      <w:tr>
        <w:tc>
          <w:tcPr>
            <w:tcW w:type="dxa" w:w="2064"/>
          </w:tcPr>
          <w:p>
            <w:r>
              <w:t>A06</w:t>
            </w:r>
          </w:p>
        </w:tc>
        <w:tc>
          <w:tcPr>
            <w:tcW w:type="dxa" w:w="2064"/>
          </w:tcPr>
          <w:p>
            <w:r>
              <w:t>LLC</w:t>
            </w:r>
          </w:p>
        </w:tc>
        <w:tc>
          <w:tcPr>
            <w:tcW w:type="dxa" w:w="2064"/>
          </w:tcPr>
          <w:p>
            <w:r>
              <w:t>Limited Liability Company</w:t>
            </w:r>
          </w:p>
        </w:tc>
        <w:tc>
          <w:tcPr>
            <w:tcW w:type="dxa" w:w="2064"/>
          </w:tcPr>
          <w:p>
            <w:pPr>
              <w:bidi/>
            </w:pPr>
            <w:r>
              <w:t>شركة ذات مسؤولية محدودة</w:t>
            </w:r>
          </w:p>
        </w:tc>
        <w:tc>
          <w:tcPr>
            <w:tcW w:type="dxa" w:w="2064"/>
          </w:tcPr>
          <w:p>
            <w:r>
              <w:t>1</w:t>
            </w:r>
          </w:p>
        </w:tc>
      </w:tr>
      <w:tr>
        <w:tc>
          <w:tcPr>
            <w:tcW w:type="dxa" w:w="2064"/>
          </w:tcPr>
          <w:p>
            <w:r>
              <w:t>A07</w:t>
            </w:r>
          </w:p>
        </w:tc>
        <w:tc>
          <w:tcPr>
            <w:tcW w:type="dxa" w:w="2064"/>
          </w:tcPr>
          <w:p>
            <w:r>
              <w:t>MACRS</w:t>
            </w:r>
          </w:p>
        </w:tc>
        <w:tc>
          <w:tcPr>
            <w:tcW w:type="dxa" w:w="2064"/>
          </w:tcPr>
          <w:p>
            <w:r>
              <w:t>Modified Accelerated Cost Recovery System</w:t>
            </w:r>
          </w:p>
        </w:tc>
        <w:tc>
          <w:tcPr>
            <w:tcW w:type="dxa" w:w="2064"/>
          </w:tcPr>
          <w:p>
            <w:pPr>
              <w:bidi/>
            </w:pPr>
            <w:r>
              <w:t>نظام الاسترداد المعجَّل المعدَّل للتكلفة (جدول معدلات الإهلاك)</w:t>
            </w:r>
          </w:p>
        </w:tc>
        <w:tc>
          <w:tcPr>
            <w:tcW w:type="dxa" w:w="2064"/>
          </w:tcPr>
          <w:p>
            <w:r>
              <w:t>3</w:t>
            </w:r>
          </w:p>
        </w:tc>
      </w:tr>
      <w:tr>
        <w:tc>
          <w:tcPr>
            <w:tcW w:type="dxa" w:w="2064"/>
          </w:tcPr>
          <w:p>
            <w:r>
              <w:t>A08</w:t>
            </w:r>
          </w:p>
        </w:tc>
        <w:tc>
          <w:tcPr>
            <w:tcW w:type="dxa" w:w="2064"/>
          </w:tcPr>
          <w:p>
            <w:r>
              <w:t>NOPAT</w:t>
            </w:r>
          </w:p>
        </w:tc>
        <w:tc>
          <w:tcPr>
            <w:tcW w:type="dxa" w:w="2064"/>
          </w:tcPr>
          <w:p>
            <w:r>
              <w:t>Net Operating Profit After Taxes</w:t>
            </w:r>
          </w:p>
        </w:tc>
        <w:tc>
          <w:tcPr>
            <w:tcW w:type="dxa" w:w="2064"/>
          </w:tcPr>
          <w:p>
            <w:pPr>
              <w:bidi/>
            </w:pPr>
            <w:r>
              <w:t>صافي الربح التشغيلي بعد الضرائب</w:t>
            </w:r>
          </w:p>
        </w:tc>
        <w:tc>
          <w:tcPr>
            <w:tcW w:type="dxa" w:w="2064"/>
          </w:tcPr>
          <w:p>
            <w:r>
              <w:t>4</w:t>
            </w:r>
          </w:p>
        </w:tc>
      </w:tr>
      <w:tr>
        <w:tc>
          <w:tcPr>
            <w:tcW w:type="dxa" w:w="2064"/>
          </w:tcPr>
          <w:p>
            <w:r>
              <w:t>A09</w:t>
            </w:r>
          </w:p>
        </w:tc>
        <w:tc>
          <w:tcPr>
            <w:tcW w:type="dxa" w:w="2064"/>
          </w:tcPr>
          <w:p>
            <w:r>
              <w:t>OCF</w:t>
            </w:r>
          </w:p>
        </w:tc>
        <w:tc>
          <w:tcPr>
            <w:tcW w:type="dxa" w:w="2064"/>
          </w:tcPr>
          <w:p>
            <w:r>
              <w:t>Operating Cash Flow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التدفق النقدي التشغيلي</w:t>
            </w:r>
          </w:p>
        </w:tc>
        <w:tc>
          <w:tcPr>
            <w:tcW w:type="dxa" w:w="2064"/>
          </w:tcPr>
          <w:p>
            <w:r>
              <w:t>4</w:t>
            </w:r>
          </w:p>
        </w:tc>
      </w:tr>
      <w:tr>
        <w:tc>
          <w:tcPr>
            <w:tcW w:type="dxa" w:w="2064"/>
          </w:tcPr>
          <w:p>
            <w:r>
              <w:t>A10</w:t>
            </w:r>
          </w:p>
        </w:tc>
        <w:tc>
          <w:tcPr>
            <w:tcW w:type="dxa" w:w="2064"/>
          </w:tcPr>
          <w:p>
            <w:r>
              <w:t>FCF</w:t>
            </w:r>
          </w:p>
        </w:tc>
        <w:tc>
          <w:tcPr>
            <w:tcW w:type="dxa" w:w="2064"/>
          </w:tcPr>
          <w:p>
            <w:r>
              <w:t>Free Cash Flow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التدفق النقدي الحر</w:t>
            </w:r>
          </w:p>
        </w:tc>
        <w:tc>
          <w:tcPr>
            <w:tcW w:type="dxa" w:w="2064"/>
          </w:tcPr>
          <w:p>
            <w:r>
              <w:t>4</w:t>
            </w:r>
          </w:p>
        </w:tc>
      </w:tr>
      <w:tr>
        <w:tc>
          <w:tcPr>
            <w:tcW w:type="dxa" w:w="2064"/>
          </w:tcPr>
          <w:p>
            <w:r>
              <w:t>A11</w:t>
            </w:r>
          </w:p>
        </w:tc>
        <w:tc>
          <w:tcPr>
            <w:tcW w:type="dxa" w:w="2064"/>
          </w:tcPr>
          <w:p>
            <w:r>
              <w:t>NFAI</w:t>
            </w:r>
          </w:p>
        </w:tc>
        <w:tc>
          <w:tcPr>
            <w:tcW w:type="dxa" w:w="2064"/>
          </w:tcPr>
          <w:p>
            <w:r>
              <w:t>Net Fixed Asset Investment</w:t>
            </w:r>
          </w:p>
        </w:tc>
        <w:tc>
          <w:tcPr>
            <w:tcW w:type="dxa" w:w="2064"/>
          </w:tcPr>
          <w:p>
            <w:pPr>
              <w:bidi/>
            </w:pPr>
            <w:r>
              <w:t>صافي الاستثمار في الأصول الثابتة</w:t>
            </w:r>
          </w:p>
        </w:tc>
        <w:tc>
          <w:tcPr>
            <w:tcW w:type="dxa" w:w="2064"/>
          </w:tcPr>
          <w:p>
            <w:r>
              <w:t>4</w:t>
            </w:r>
          </w:p>
        </w:tc>
      </w:tr>
      <w:tr>
        <w:tc>
          <w:tcPr>
            <w:tcW w:type="dxa" w:w="2064"/>
          </w:tcPr>
          <w:p>
            <w:r>
              <w:t>A12</w:t>
            </w:r>
          </w:p>
        </w:tc>
        <w:tc>
          <w:tcPr>
            <w:tcW w:type="dxa" w:w="2064"/>
          </w:tcPr>
          <w:p>
            <w:r>
              <w:t>NCAI</w:t>
            </w:r>
          </w:p>
        </w:tc>
        <w:tc>
          <w:tcPr>
            <w:tcW w:type="dxa" w:w="2064"/>
          </w:tcPr>
          <w:p>
            <w:r>
              <w:t>Net Current Asset Investment</w:t>
            </w:r>
          </w:p>
        </w:tc>
        <w:tc>
          <w:tcPr>
            <w:tcW w:type="dxa" w:w="2064"/>
          </w:tcPr>
          <w:p>
            <w:pPr>
              <w:bidi/>
            </w:pPr>
            <w:r>
              <w:t>صافي الاستثمار في الأصول المتداولة</w:t>
            </w:r>
          </w:p>
        </w:tc>
        <w:tc>
          <w:tcPr>
            <w:tcW w:type="dxa" w:w="2064"/>
          </w:tcPr>
          <w:p>
            <w:r>
              <w:t>4</w:t>
            </w:r>
          </w:p>
        </w:tc>
      </w:tr>
      <w:tr>
        <w:tc>
          <w:tcPr>
            <w:tcW w:type="dxa" w:w="2064"/>
          </w:tcPr>
          <w:p>
            <w:r>
              <w:t>A13</w:t>
            </w:r>
          </w:p>
        </w:tc>
        <w:tc>
          <w:tcPr>
            <w:tcW w:type="dxa" w:w="2064"/>
          </w:tcPr>
          <w:p>
            <w:r>
              <w:t>FCFF</w:t>
            </w:r>
          </w:p>
        </w:tc>
        <w:tc>
          <w:tcPr>
            <w:tcW w:type="dxa" w:w="2064"/>
          </w:tcPr>
          <w:p>
            <w:r>
              <w:t>Free Cash Flow to the Firm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التدفق النقدي الحر للمنشأة</w:t>
            </w:r>
          </w:p>
        </w:tc>
        <w:tc>
          <w:tcPr>
            <w:tcW w:type="dxa" w:w="2064"/>
          </w:tcPr>
          <w:p>
            <w:r>
              <w:t>5</w:t>
            </w:r>
          </w:p>
        </w:tc>
      </w:tr>
      <w:tr>
        <w:tc>
          <w:tcPr>
            <w:tcW w:type="dxa" w:w="2064"/>
          </w:tcPr>
          <w:p>
            <w:r>
              <w:t>A14</w:t>
            </w:r>
          </w:p>
        </w:tc>
        <w:tc>
          <w:tcPr>
            <w:tcW w:type="dxa" w:w="2064"/>
          </w:tcPr>
          <w:p>
            <w:r>
              <w:t>D&amp;A</w:t>
            </w:r>
          </w:p>
        </w:tc>
        <w:tc>
          <w:tcPr>
            <w:tcW w:type="dxa" w:w="2064"/>
          </w:tcPr>
          <w:p>
            <w:r>
              <w:t>Depreciation &amp; Amortization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الإهلاك والاستهلاك</w:t>
            </w:r>
          </w:p>
        </w:tc>
        <w:tc>
          <w:tcPr>
            <w:tcW w:type="dxa" w:w="2064"/>
          </w:tcPr>
          <w:p>
            <w:r>
              <w:t>5</w:t>
            </w:r>
          </w:p>
        </w:tc>
      </w:tr>
      <w:tr>
        <w:tc>
          <w:tcPr>
            <w:tcW w:type="dxa" w:w="2064"/>
          </w:tcPr>
          <w:p>
            <w:r>
              <w:t>A15</w:t>
            </w:r>
          </w:p>
        </w:tc>
        <w:tc>
          <w:tcPr>
            <w:tcW w:type="dxa" w:w="2064"/>
          </w:tcPr>
          <w:p>
            <w:r>
              <w:t>WC</w:t>
            </w:r>
          </w:p>
        </w:tc>
        <w:tc>
          <w:tcPr>
            <w:tcW w:type="dxa" w:w="2064"/>
          </w:tcPr>
          <w:p>
            <w:r>
              <w:t>Working Capital</w:t>
            </w:r>
          </w:p>
        </w:tc>
        <w:tc>
          <w:tcPr>
            <w:tcW w:type="dxa" w:w="2064"/>
          </w:tcPr>
          <w:p>
            <w:pPr>
              <w:bidi/>
            </w:pPr>
            <w:r>
              <w:t>رأس المال العامل</w:t>
            </w:r>
          </w:p>
        </w:tc>
        <w:tc>
          <w:tcPr>
            <w:tcW w:type="dxa" w:w="2064"/>
          </w:tcPr>
          <w:p>
            <w:r>
              <w:t>5</w:t>
            </w:r>
          </w:p>
        </w:tc>
      </w:tr>
      <w:tr>
        <w:tc>
          <w:tcPr>
            <w:tcW w:type="dxa" w:w="2064"/>
          </w:tcPr>
          <w:p>
            <w:r>
              <w:t>A16</w:t>
            </w:r>
          </w:p>
        </w:tc>
        <w:tc>
          <w:tcPr>
            <w:tcW w:type="dxa" w:w="2064"/>
          </w:tcPr>
          <w:p>
            <w:r>
              <w:t>EBIT</w:t>
            </w:r>
          </w:p>
        </w:tc>
        <w:tc>
          <w:tcPr>
            <w:tcW w:type="dxa" w:w="2064"/>
          </w:tcPr>
          <w:p>
            <w:r>
              <w:t>Earnings Before Interest and Taxes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الأرباح قبل الفوائد والضرائب</w:t>
            </w:r>
          </w:p>
        </w:tc>
        <w:tc>
          <w:tcPr>
            <w:tcW w:type="dxa" w:w="2064"/>
          </w:tcPr>
          <w:p>
            <w:r>
              <w:t>4</w:t>
            </w:r>
          </w:p>
        </w:tc>
      </w:tr>
      <w:tr>
        <w:tc>
          <w:tcPr>
            <w:tcW w:type="dxa" w:w="2064"/>
          </w:tcPr>
          <w:p>
            <w:r>
              <w:t>A17</w:t>
            </w:r>
          </w:p>
        </w:tc>
        <w:tc>
          <w:tcPr>
            <w:tcW w:type="dxa" w:w="2064"/>
          </w:tcPr>
          <w:p>
            <w:r>
              <w:t>EBT</w:t>
            </w:r>
          </w:p>
        </w:tc>
        <w:tc>
          <w:tcPr>
            <w:tcW w:type="dxa" w:w="2064"/>
          </w:tcPr>
          <w:p>
            <w:r>
              <w:t>Earnings Before Tax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الأرباح قبل الضريبة</w:t>
            </w:r>
          </w:p>
        </w:tc>
        <w:tc>
          <w:tcPr>
            <w:tcW w:type="dxa" w:w="2064"/>
          </w:tcPr>
          <w:p>
            <w:r>
              <w:t>4</w:t>
            </w:r>
          </w:p>
        </w:tc>
      </w:tr>
      <w:tr>
        <w:tc>
          <w:tcPr>
            <w:tcW w:type="dxa" w:w="2064"/>
          </w:tcPr>
          <w:p>
            <w:r>
              <w:t>A18</w:t>
            </w:r>
          </w:p>
        </w:tc>
        <w:tc>
          <w:tcPr>
            <w:tcW w:type="dxa" w:w="2064"/>
          </w:tcPr>
          <w:p>
            <w:r>
              <w:t>NI</w:t>
            </w:r>
          </w:p>
        </w:tc>
        <w:tc>
          <w:tcPr>
            <w:tcW w:type="dxa" w:w="2064"/>
          </w:tcPr>
          <w:p>
            <w:r>
              <w:t>Net Income</w:t>
            </w:r>
          </w:p>
        </w:tc>
        <w:tc>
          <w:tcPr>
            <w:tcW w:type="dxa" w:w="2064"/>
          </w:tcPr>
          <w:p>
            <w:pPr>
              <w:bidi/>
            </w:pPr>
            <w:r>
              <w:t>صافي الدخل</w:t>
            </w:r>
          </w:p>
        </w:tc>
        <w:tc>
          <w:tcPr>
            <w:tcW w:type="dxa" w:w="2064"/>
          </w:tcPr>
          <w:p>
            <w:r>
              <w:t>4</w:t>
            </w:r>
          </w:p>
        </w:tc>
      </w:tr>
      <w:tr>
        <w:tc>
          <w:tcPr>
            <w:tcW w:type="dxa" w:w="2064"/>
          </w:tcPr>
          <w:p>
            <w:r>
              <w:t>A19</w:t>
            </w:r>
          </w:p>
        </w:tc>
        <w:tc>
          <w:tcPr>
            <w:tcW w:type="dxa" w:w="2064"/>
          </w:tcPr>
          <w:p>
            <w:r>
              <w:t>CA</w:t>
            </w:r>
          </w:p>
        </w:tc>
        <w:tc>
          <w:tcPr>
            <w:tcW w:type="dxa" w:w="2064"/>
          </w:tcPr>
          <w:p>
            <w:r>
              <w:t>Current Assets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الأصول المتداولة</w:t>
            </w:r>
          </w:p>
        </w:tc>
        <w:tc>
          <w:tcPr>
            <w:tcW w:type="dxa" w:w="2064"/>
          </w:tcPr>
          <w:p>
            <w:r>
              <w:t>4</w:t>
            </w:r>
          </w:p>
        </w:tc>
      </w:tr>
      <w:tr>
        <w:tc>
          <w:tcPr>
            <w:tcW w:type="dxa" w:w="2064"/>
          </w:tcPr>
          <w:p>
            <w:r>
              <w:t>A20</w:t>
            </w:r>
          </w:p>
        </w:tc>
        <w:tc>
          <w:tcPr>
            <w:tcW w:type="dxa" w:w="2064"/>
          </w:tcPr>
          <w:p>
            <w:r>
              <w:t>CL</w:t>
            </w:r>
          </w:p>
        </w:tc>
        <w:tc>
          <w:tcPr>
            <w:tcW w:type="dxa" w:w="2064"/>
          </w:tcPr>
          <w:p>
            <w:r>
              <w:t>Current Liabilities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الخصوم المتداولة</w:t>
            </w:r>
          </w:p>
        </w:tc>
        <w:tc>
          <w:tcPr>
            <w:tcW w:type="dxa" w:w="2064"/>
          </w:tcPr>
          <w:p>
            <w:r>
              <w:t>8</w:t>
            </w:r>
          </w:p>
        </w:tc>
      </w:tr>
      <w:tr>
        <w:tc>
          <w:tcPr>
            <w:tcW w:type="dxa" w:w="2064"/>
          </w:tcPr>
          <w:p>
            <w:r>
              <w:t>A21</w:t>
            </w:r>
          </w:p>
        </w:tc>
        <w:tc>
          <w:tcPr>
            <w:tcW w:type="dxa" w:w="2064"/>
          </w:tcPr>
          <w:p>
            <w:r>
              <w:t>A/R</w:t>
            </w:r>
          </w:p>
        </w:tc>
        <w:tc>
          <w:tcPr>
            <w:tcW w:type="dxa" w:w="2064"/>
          </w:tcPr>
          <w:p>
            <w:r>
              <w:t>Accounts Receivable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المدينون (حسابات القبض)</w:t>
            </w:r>
          </w:p>
        </w:tc>
        <w:tc>
          <w:tcPr>
            <w:tcW w:type="dxa" w:w="2064"/>
          </w:tcPr>
          <w:p>
            <w:r>
              <w:t>8</w:t>
            </w:r>
          </w:p>
        </w:tc>
      </w:tr>
      <w:tr>
        <w:tc>
          <w:tcPr>
            <w:tcW w:type="dxa" w:w="2064"/>
          </w:tcPr>
          <w:p>
            <w:r>
              <w:t>A22</w:t>
            </w:r>
          </w:p>
        </w:tc>
        <w:tc>
          <w:tcPr>
            <w:tcW w:type="dxa" w:w="2064"/>
          </w:tcPr>
          <w:p>
            <w:r>
              <w:t>A/P</w:t>
            </w:r>
          </w:p>
        </w:tc>
        <w:tc>
          <w:tcPr>
            <w:tcW w:type="dxa" w:w="2064"/>
          </w:tcPr>
          <w:p>
            <w:r>
              <w:t>Accounts Payable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الدائنون (حسابات الدفع)</w:t>
            </w:r>
          </w:p>
        </w:tc>
        <w:tc>
          <w:tcPr>
            <w:tcW w:type="dxa" w:w="2064"/>
          </w:tcPr>
          <w:p>
            <w:r>
              <w:t>4</w:t>
            </w:r>
          </w:p>
        </w:tc>
      </w:tr>
      <w:tr>
        <w:tc>
          <w:tcPr>
            <w:tcW w:type="dxa" w:w="2064"/>
          </w:tcPr>
          <w:p>
            <w:r>
              <w:t>A23</w:t>
            </w:r>
          </w:p>
        </w:tc>
        <w:tc>
          <w:tcPr>
            <w:tcW w:type="dxa" w:w="2064"/>
          </w:tcPr>
          <w:p>
            <w:r>
              <w:t>COGS</w:t>
            </w:r>
          </w:p>
        </w:tc>
        <w:tc>
          <w:tcPr>
            <w:tcW w:type="dxa" w:w="2064"/>
          </w:tcPr>
          <w:p>
            <w:r>
              <w:t>Cost of Goods Sold</w:t>
            </w:r>
          </w:p>
        </w:tc>
        <w:tc>
          <w:tcPr>
            <w:tcW w:type="dxa" w:w="2064"/>
          </w:tcPr>
          <w:p>
            <w:pPr>
              <w:bidi/>
            </w:pPr>
            <w:r>
              <w:t>تكلفة المبيعات</w:t>
            </w:r>
          </w:p>
        </w:tc>
        <w:tc>
          <w:tcPr>
            <w:tcW w:type="dxa" w:w="2064"/>
          </w:tcPr>
          <w:p>
            <w:r>
              <w:t>7</w:t>
            </w:r>
          </w:p>
        </w:tc>
      </w:tr>
      <w:tr>
        <w:tc>
          <w:tcPr>
            <w:tcW w:type="dxa" w:w="2064"/>
          </w:tcPr>
          <w:p>
            <w:r>
              <w:t>A24</w:t>
            </w:r>
          </w:p>
        </w:tc>
        <w:tc>
          <w:tcPr>
            <w:tcW w:type="dxa" w:w="2064"/>
          </w:tcPr>
          <w:p>
            <w:r>
              <w:t>TA</w:t>
            </w:r>
          </w:p>
        </w:tc>
        <w:tc>
          <w:tcPr>
            <w:tcW w:type="dxa" w:w="2064"/>
          </w:tcPr>
          <w:p>
            <w:r>
              <w:t>Total Assets</w:t>
            </w:r>
          </w:p>
        </w:tc>
        <w:tc>
          <w:tcPr>
            <w:tcW w:type="dxa" w:w="2064"/>
          </w:tcPr>
          <w:p>
            <w:pPr>
              <w:bidi/>
            </w:pPr>
            <w:r>
              <w:t>إجمالي الأصول</w:t>
            </w:r>
          </w:p>
        </w:tc>
        <w:tc>
          <w:tcPr>
            <w:tcW w:type="dxa" w:w="2064"/>
          </w:tcPr>
          <w:p>
            <w:r>
              <w:t>7</w:t>
            </w:r>
          </w:p>
        </w:tc>
      </w:tr>
      <w:tr>
        <w:tc>
          <w:tcPr>
            <w:tcW w:type="dxa" w:w="2064"/>
          </w:tcPr>
          <w:p>
            <w:r>
              <w:t>A25</w:t>
            </w:r>
          </w:p>
        </w:tc>
        <w:tc>
          <w:tcPr>
            <w:tcW w:type="dxa" w:w="2064"/>
          </w:tcPr>
          <w:p>
            <w:r>
              <w:t>RE</w:t>
            </w:r>
          </w:p>
        </w:tc>
        <w:tc>
          <w:tcPr>
            <w:tcW w:type="dxa" w:w="2064"/>
          </w:tcPr>
          <w:p>
            <w:r>
              <w:t>Retained Earnings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الأرباح المحتجزة</w:t>
            </w:r>
          </w:p>
        </w:tc>
        <w:tc>
          <w:tcPr>
            <w:tcW w:type="dxa" w:w="2064"/>
          </w:tcPr>
          <w:p>
            <w:r>
              <w:t>7</w:t>
            </w:r>
          </w:p>
        </w:tc>
      </w:tr>
      <w:tr>
        <w:tc>
          <w:tcPr>
            <w:tcW w:type="dxa" w:w="2064"/>
          </w:tcPr>
          <w:p>
            <w:r>
              <w:t>A26</w:t>
            </w:r>
          </w:p>
        </w:tc>
        <w:tc>
          <w:tcPr>
            <w:tcW w:type="dxa" w:w="2064"/>
          </w:tcPr>
          <w:p>
            <w:r>
              <w:t>ROA</w:t>
            </w:r>
          </w:p>
        </w:tc>
        <w:tc>
          <w:tcPr>
            <w:tcW w:type="dxa" w:w="2064"/>
          </w:tcPr>
          <w:p>
            <w:r>
              <w:t>Return on Assets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العائد على الأصول</w:t>
            </w:r>
          </w:p>
        </w:tc>
        <w:tc>
          <w:tcPr>
            <w:tcW w:type="dxa" w:w="2064"/>
          </w:tcPr>
          <w:p>
            <w:r>
              <w:t>8</w:t>
            </w:r>
          </w:p>
        </w:tc>
      </w:tr>
      <w:tr>
        <w:tc>
          <w:tcPr>
            <w:tcW w:type="dxa" w:w="2064"/>
          </w:tcPr>
          <w:p>
            <w:r>
              <w:t>A27</w:t>
            </w:r>
          </w:p>
        </w:tc>
        <w:tc>
          <w:tcPr>
            <w:tcW w:type="dxa" w:w="2064"/>
          </w:tcPr>
          <w:p>
            <w:r>
              <w:t>ROE</w:t>
            </w:r>
          </w:p>
        </w:tc>
        <w:tc>
          <w:tcPr>
            <w:tcW w:type="dxa" w:w="2064"/>
          </w:tcPr>
          <w:p>
            <w:r>
              <w:t>Return on Equity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العائد على حقوق الملكية</w:t>
            </w:r>
          </w:p>
        </w:tc>
        <w:tc>
          <w:tcPr>
            <w:tcW w:type="dxa" w:w="2064"/>
          </w:tcPr>
          <w:p>
            <w:r>
              <w:t>8</w:t>
            </w:r>
          </w:p>
        </w:tc>
      </w:tr>
      <w:tr>
        <w:tc>
          <w:tcPr>
            <w:tcW w:type="dxa" w:w="2064"/>
          </w:tcPr>
          <w:p>
            <w:r>
              <w:t>A28</w:t>
            </w:r>
          </w:p>
        </w:tc>
        <w:tc>
          <w:tcPr>
            <w:tcW w:type="dxa" w:w="2064"/>
          </w:tcPr>
          <w:p>
            <w:r>
              <w:t>P/E</w:t>
            </w:r>
          </w:p>
        </w:tc>
        <w:tc>
          <w:tcPr>
            <w:tcW w:type="dxa" w:w="2064"/>
          </w:tcPr>
          <w:p>
            <w:r>
              <w:t>Price-to-Earnings ratio</w:t>
            </w:r>
          </w:p>
        </w:tc>
        <w:tc>
          <w:tcPr>
            <w:tcW w:type="dxa" w:w="2064"/>
          </w:tcPr>
          <w:p>
            <w:pPr>
              <w:bidi/>
            </w:pPr>
            <w:r>
              <w:t>نسبة السعر إلى الربح</w:t>
            </w:r>
          </w:p>
        </w:tc>
        <w:tc>
          <w:tcPr>
            <w:tcW w:type="dxa" w:w="2064"/>
          </w:tcPr>
          <w:p>
            <w:r>
              <w:t>8</w:t>
            </w:r>
          </w:p>
        </w:tc>
      </w:tr>
      <w:tr>
        <w:tc>
          <w:tcPr>
            <w:tcW w:type="dxa" w:w="2064"/>
          </w:tcPr>
          <w:p>
            <w:r>
              <w:t>A29</w:t>
            </w:r>
          </w:p>
        </w:tc>
        <w:tc>
          <w:tcPr>
            <w:tcW w:type="dxa" w:w="2064"/>
          </w:tcPr>
          <w:p>
            <w:r>
              <w:t>TIE</w:t>
            </w:r>
          </w:p>
        </w:tc>
        <w:tc>
          <w:tcPr>
            <w:tcW w:type="dxa" w:w="2064"/>
          </w:tcPr>
          <w:p>
            <w:r>
              <w:t>Times Interest Earned</w:t>
            </w:r>
          </w:p>
        </w:tc>
        <w:tc>
          <w:tcPr>
            <w:tcW w:type="dxa" w:w="2064"/>
          </w:tcPr>
          <w:p>
            <w:pPr>
              <w:bidi/>
            </w:pPr>
            <w:r>
              <w:t>مرات تغطية الفوائد</w:t>
            </w:r>
          </w:p>
        </w:tc>
        <w:tc>
          <w:tcPr>
            <w:tcW w:type="dxa" w:w="2064"/>
          </w:tcPr>
          <w:p>
            <w:r>
              <w:t>8</w:t>
            </w:r>
          </w:p>
        </w:tc>
      </w:tr>
      <w:tr>
        <w:tc>
          <w:tcPr>
            <w:tcW w:type="dxa" w:w="2064"/>
          </w:tcPr>
          <w:p>
            <w:r>
              <w:t>A30</w:t>
            </w:r>
          </w:p>
        </w:tc>
        <w:tc>
          <w:tcPr>
            <w:tcW w:type="dxa" w:w="2064"/>
          </w:tcPr>
          <w:p>
            <w:r>
              <w:t>ZGM</w:t>
            </w:r>
          </w:p>
        </w:tc>
        <w:tc>
          <w:tcPr>
            <w:tcW w:type="dxa" w:w="2064"/>
          </w:tcPr>
          <w:p>
            <w:r>
              <w:t>Zero-Growth Model</w:t>
            </w:r>
          </w:p>
        </w:tc>
        <w:tc>
          <w:tcPr>
            <w:tcW w:type="dxa" w:w="2064"/>
          </w:tcPr>
          <w:p>
            <w:pPr>
              <w:bidi/>
            </w:pPr>
            <w:r>
              <w:t>نموذج صفر النمو</w:t>
            </w:r>
          </w:p>
        </w:tc>
        <w:tc>
          <w:tcPr>
            <w:tcW w:type="dxa" w:w="2064"/>
          </w:tcPr>
          <w:p>
            <w:r>
              <w:t>10</w:t>
            </w:r>
          </w:p>
        </w:tc>
      </w:tr>
      <w:tr>
        <w:tc>
          <w:tcPr>
            <w:tcW w:type="dxa" w:w="2064"/>
          </w:tcPr>
          <w:p>
            <w:r>
              <w:t>A31</w:t>
            </w:r>
          </w:p>
        </w:tc>
        <w:tc>
          <w:tcPr>
            <w:tcW w:type="dxa" w:w="2064"/>
          </w:tcPr>
          <w:p>
            <w:r>
              <w:t>CGM</w:t>
            </w:r>
          </w:p>
        </w:tc>
        <w:tc>
          <w:tcPr>
            <w:tcW w:type="dxa" w:w="2064"/>
          </w:tcPr>
          <w:p>
            <w:r>
              <w:t>Constant-Growth Model</w:t>
            </w:r>
          </w:p>
        </w:tc>
        <w:tc>
          <w:tcPr>
            <w:tcW w:type="dxa" w:w="2064"/>
          </w:tcPr>
          <w:p>
            <w:pPr>
              <w:bidi/>
            </w:pPr>
            <w:r>
              <w:t>نموذج النمو الثابت</w:t>
            </w:r>
          </w:p>
        </w:tc>
        <w:tc>
          <w:tcPr>
            <w:tcW w:type="dxa" w:w="2064"/>
          </w:tcPr>
          <w:p>
            <w:r>
              <w:t>10</w:t>
            </w:r>
          </w:p>
        </w:tc>
      </w:tr>
      <w:tr>
        <w:tc>
          <w:tcPr>
            <w:tcW w:type="dxa" w:w="2064"/>
          </w:tcPr>
          <w:p>
            <w:r>
              <w:t>A32</w:t>
            </w:r>
          </w:p>
        </w:tc>
        <w:tc>
          <w:tcPr>
            <w:tcW w:type="dxa" w:w="2064"/>
          </w:tcPr>
          <w:p>
            <w:r>
              <w:t>PVIFA</w:t>
            </w:r>
          </w:p>
        </w:tc>
        <w:tc>
          <w:tcPr>
            <w:tcW w:type="dxa" w:w="2064"/>
          </w:tcPr>
          <w:p>
            <w:r>
              <w:t>Present Value Interest Factor of an Annuity</w:t>
            </w:r>
          </w:p>
        </w:tc>
        <w:tc>
          <w:tcPr>
            <w:tcW w:type="dxa" w:w="2064"/>
          </w:tcPr>
          <w:p>
            <w:pPr>
              <w:bidi/>
            </w:pPr>
            <w:r>
              <w:t>معامل القيمة الحالية لفائدة الدفعات السنوية</w:t>
            </w:r>
          </w:p>
        </w:tc>
        <w:tc>
          <w:tcPr>
            <w:tcW w:type="dxa" w:w="2064"/>
          </w:tcPr>
          <w:p>
            <w:r>
              <w:t>10</w:t>
            </w:r>
          </w:p>
        </w:tc>
      </w:tr>
      <w:tr>
        <w:tc>
          <w:tcPr>
            <w:tcW w:type="dxa" w:w="2064"/>
          </w:tcPr>
          <w:p>
            <w:r>
              <w:t>A33</w:t>
            </w:r>
          </w:p>
        </w:tc>
        <w:tc>
          <w:tcPr>
            <w:tcW w:type="dxa" w:w="2064"/>
          </w:tcPr>
          <w:p>
            <w:r>
              <w:t>PV</w:t>
            </w:r>
          </w:p>
        </w:tc>
        <w:tc>
          <w:tcPr>
            <w:tcW w:type="dxa" w:w="2064"/>
          </w:tcPr>
          <w:p>
            <w:r>
              <w:t>Present Value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القيمة الحالية</w:t>
            </w:r>
          </w:p>
        </w:tc>
        <w:tc>
          <w:tcPr>
            <w:tcW w:type="dxa" w:w="2064"/>
          </w:tcPr>
          <w:p>
            <w:r>
              <w:t>14</w:t>
            </w:r>
          </w:p>
        </w:tc>
      </w:tr>
      <w:tr>
        <w:tc>
          <w:tcPr>
            <w:tcW w:type="dxa" w:w="2064"/>
          </w:tcPr>
          <w:p>
            <w:r>
              <w:t>A34</w:t>
            </w:r>
          </w:p>
        </w:tc>
        <w:tc>
          <w:tcPr>
            <w:tcW w:type="dxa" w:w="2064"/>
          </w:tcPr>
          <w:p>
            <w:r>
              <w:t>FV</w:t>
            </w:r>
          </w:p>
        </w:tc>
        <w:tc>
          <w:tcPr>
            <w:tcW w:type="dxa" w:w="2064"/>
          </w:tcPr>
          <w:p>
            <w:r>
              <w:t>Future Value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القيمة المستقبلية</w:t>
            </w:r>
          </w:p>
        </w:tc>
        <w:tc>
          <w:tcPr>
            <w:tcW w:type="dxa" w:w="2064"/>
          </w:tcPr>
          <w:p>
            <w:r>
              <w:t>14</w:t>
            </w:r>
          </w:p>
        </w:tc>
      </w:tr>
      <w:tr>
        <w:tc>
          <w:tcPr>
            <w:tcW w:type="dxa" w:w="2064"/>
          </w:tcPr>
          <w:p>
            <w:r>
              <w:t>A35</w:t>
            </w:r>
          </w:p>
        </w:tc>
        <w:tc>
          <w:tcPr>
            <w:tcW w:type="dxa" w:w="2064"/>
          </w:tcPr>
          <w:p>
            <w:r>
              <w:t>PMT</w:t>
            </w:r>
          </w:p>
        </w:tc>
        <w:tc>
          <w:tcPr>
            <w:tcW w:type="dxa" w:w="2064"/>
          </w:tcPr>
          <w:p>
            <w:r>
              <w:t>Annuity Payment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الدفعة السنوية الثابتة</w:t>
            </w:r>
          </w:p>
        </w:tc>
        <w:tc>
          <w:tcPr>
            <w:tcW w:type="dxa" w:w="2064"/>
          </w:tcPr>
          <w:p>
            <w:r>
              <w:t>14</w:t>
            </w:r>
          </w:p>
        </w:tc>
      </w:tr>
      <w:tr>
        <w:tc>
          <w:tcPr>
            <w:tcW w:type="dxa" w:w="2064"/>
          </w:tcPr>
          <w:p>
            <w:r>
              <w:t>A36</w:t>
            </w:r>
          </w:p>
        </w:tc>
        <w:tc>
          <w:tcPr>
            <w:tcW w:type="dxa" w:w="2064"/>
          </w:tcPr>
          <w:p>
            <w:r>
              <w:t>TVM</w:t>
            </w:r>
          </w:p>
        </w:tc>
        <w:tc>
          <w:tcPr>
            <w:tcW w:type="dxa" w:w="2064"/>
          </w:tcPr>
          <w:p>
            <w:r>
              <w:t>Time Value of Money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القيمة الزمنية للنقد</w:t>
            </w:r>
          </w:p>
        </w:tc>
        <w:tc>
          <w:tcPr>
            <w:tcW w:type="dxa" w:w="2064"/>
          </w:tcPr>
          <w:p>
            <w:r>
              <w:t>14</w:t>
            </w:r>
          </w:p>
        </w:tc>
      </w:tr>
      <w:tr>
        <w:tc>
          <w:tcPr>
            <w:tcW w:type="dxa" w:w="2064"/>
          </w:tcPr>
          <w:p>
            <w:r>
              <w:t>A37</w:t>
            </w:r>
          </w:p>
        </w:tc>
        <w:tc>
          <w:tcPr>
            <w:tcW w:type="dxa" w:w="2064"/>
          </w:tcPr>
          <w:p>
            <w:r>
              <w:t>APR</w:t>
            </w:r>
          </w:p>
        </w:tc>
        <w:tc>
          <w:tcPr>
            <w:tcW w:type="dxa" w:w="2064"/>
          </w:tcPr>
          <w:p>
            <w:r>
              <w:t>Annual Percentage Rate</w:t>
            </w:r>
          </w:p>
        </w:tc>
        <w:tc>
          <w:tcPr>
            <w:tcW w:type="dxa" w:w="2064"/>
          </w:tcPr>
          <w:p>
            <w:pPr>
              <w:bidi/>
            </w:pPr>
            <w:r>
              <w:t>معدل النسبة المئوية السنوية</w:t>
            </w:r>
          </w:p>
        </w:tc>
        <w:tc>
          <w:tcPr>
            <w:tcW w:type="dxa" w:w="2064"/>
          </w:tcPr>
          <w:p>
            <w:r>
              <w:t>15</w:t>
            </w:r>
          </w:p>
        </w:tc>
      </w:tr>
      <w:tr>
        <w:tc>
          <w:tcPr>
            <w:tcW w:type="dxa" w:w="2064"/>
          </w:tcPr>
          <w:p>
            <w:r>
              <w:t>A38</w:t>
            </w:r>
          </w:p>
        </w:tc>
        <w:tc>
          <w:tcPr>
            <w:tcW w:type="dxa" w:w="2064"/>
          </w:tcPr>
          <w:p>
            <w:r>
              <w:t>LIBOR</w:t>
            </w:r>
          </w:p>
        </w:tc>
        <w:tc>
          <w:tcPr>
            <w:tcW w:type="dxa" w:w="2064"/>
          </w:tcPr>
          <w:p>
            <w:r>
              <w:t>London Inter-Bank Offered Rate</w:t>
            </w:r>
          </w:p>
        </w:tc>
        <w:tc>
          <w:tcPr>
            <w:tcW w:type="dxa" w:w="2064"/>
          </w:tcPr>
          <w:p>
            <w:pPr>
              <w:bidi/>
            </w:pPr>
            <w:r>
              <w:t>سعر الفائدة المعروض بين بنوك لندن</w:t>
            </w:r>
          </w:p>
        </w:tc>
        <w:tc>
          <w:tcPr>
            <w:tcW w:type="dxa" w:w="2064"/>
          </w:tcPr>
          <w:p>
            <w:r>
              <w:t>15</w:t>
            </w:r>
          </w:p>
        </w:tc>
      </w:tr>
      <w:tr>
        <w:tc>
          <w:tcPr>
            <w:tcW w:type="dxa" w:w="2064"/>
          </w:tcPr>
          <w:p>
            <w:r>
              <w:t>A39</w:t>
            </w:r>
          </w:p>
        </w:tc>
        <w:tc>
          <w:tcPr>
            <w:tcW w:type="dxa" w:w="2064"/>
          </w:tcPr>
          <w:p>
            <w:r>
              <w:t>SEC</w:t>
            </w:r>
          </w:p>
        </w:tc>
        <w:tc>
          <w:tcPr>
            <w:tcW w:type="dxa" w:w="2064"/>
          </w:tcPr>
          <w:p>
            <w:r>
              <w:t>U.S. Securities and Exchange Commission</w:t>
            </w:r>
          </w:p>
        </w:tc>
        <w:tc>
          <w:tcPr>
            <w:tcW w:type="dxa" w:w="2064"/>
          </w:tcPr>
          <w:p>
            <w:pPr>
              <w:bidi/>
            </w:pPr>
            <w:r>
              <w:t>هيئة الأوراق المالية والبورصات الأمريكية</w:t>
            </w:r>
          </w:p>
        </w:tc>
        <w:tc>
          <w:tcPr>
            <w:tcW w:type="dxa" w:w="2064"/>
          </w:tcPr>
          <w:p>
            <w:r>
              <w:t>15</w:t>
            </w:r>
          </w:p>
        </w:tc>
      </w:tr>
      <w:tr>
        <w:tc>
          <w:tcPr>
            <w:tcW w:type="dxa" w:w="2064"/>
          </w:tcPr>
          <w:p>
            <w:r>
              <w:t>A40</w:t>
            </w:r>
          </w:p>
        </w:tc>
        <w:tc>
          <w:tcPr>
            <w:tcW w:type="dxa" w:w="2064"/>
          </w:tcPr>
          <w:p>
            <w:r>
              <w:t>DCF</w:t>
            </w:r>
          </w:p>
        </w:tc>
        <w:tc>
          <w:tcPr>
            <w:tcW w:type="dxa" w:w="2064"/>
          </w:tcPr>
          <w:p>
            <w:r>
              <w:t>Discounted Cash Flow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التدفق النقدي المخصوم</w:t>
            </w:r>
          </w:p>
        </w:tc>
        <w:tc>
          <w:tcPr>
            <w:tcW w:type="dxa" w:w="2064"/>
          </w:tcPr>
          <w:p>
            <w:r>
              <w:t>15</w:t>
            </w:r>
          </w:p>
        </w:tc>
      </w:tr>
      <w:tr>
        <w:tc>
          <w:tcPr>
            <w:tcW w:type="dxa" w:w="2064"/>
          </w:tcPr>
          <w:p>
            <w:r>
              <w:t>A41</w:t>
            </w:r>
          </w:p>
        </w:tc>
        <w:tc>
          <w:tcPr>
            <w:tcW w:type="dxa" w:w="2064"/>
          </w:tcPr>
          <w:p>
            <w:r>
              <w:t>CAPM</w:t>
            </w:r>
          </w:p>
        </w:tc>
        <w:tc>
          <w:tcPr>
            <w:tcW w:type="dxa" w:w="2064"/>
          </w:tcPr>
          <w:p>
            <w:r>
              <w:t>Capital Asset Pricing Model</w:t>
            </w:r>
          </w:p>
        </w:tc>
        <w:tc>
          <w:tcPr>
            <w:tcW w:type="dxa" w:w="2064"/>
          </w:tcPr>
          <w:p>
            <w:pPr>
              <w:bidi/>
            </w:pPr>
            <w:r>
              <w:t>نموذج تسعير الأصول الرأسمالية</w:t>
            </w:r>
          </w:p>
        </w:tc>
        <w:tc>
          <w:tcPr>
            <w:tcW w:type="dxa" w:w="2064"/>
          </w:tcPr>
          <w:p>
            <w:r>
              <w:t>13</w:t>
            </w:r>
          </w:p>
        </w:tc>
      </w:tr>
      <w:tr>
        <w:tc>
          <w:tcPr>
            <w:tcW w:type="dxa" w:w="2064"/>
          </w:tcPr>
          <w:p>
            <w:r>
              <w:t>A42</w:t>
            </w:r>
          </w:p>
        </w:tc>
        <w:tc>
          <w:tcPr>
            <w:tcW w:type="dxa" w:w="2064"/>
          </w:tcPr>
          <w:p>
            <w:r>
              <w:t>Rf</w:t>
            </w:r>
          </w:p>
        </w:tc>
        <w:tc>
          <w:tcPr>
            <w:tcW w:type="dxa" w:w="2064"/>
          </w:tcPr>
          <w:p>
            <w:r>
              <w:t>Risk-free Rate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المعدل الخالي من المخاطر</w:t>
            </w:r>
          </w:p>
        </w:tc>
        <w:tc>
          <w:tcPr>
            <w:tcW w:type="dxa" w:w="2064"/>
          </w:tcPr>
          <w:p>
            <w:r>
              <w:t>13</w:t>
            </w:r>
          </w:p>
        </w:tc>
      </w:tr>
      <w:tr>
        <w:tc>
          <w:tcPr>
            <w:tcW w:type="dxa" w:w="2064"/>
          </w:tcPr>
          <w:p>
            <w:r>
              <w:t>A43</w:t>
            </w:r>
          </w:p>
        </w:tc>
        <w:tc>
          <w:tcPr>
            <w:tcW w:type="dxa" w:w="2064"/>
          </w:tcPr>
          <w:p>
            <w:r>
              <w:t>Rm</w:t>
            </w:r>
          </w:p>
        </w:tc>
        <w:tc>
          <w:tcPr>
            <w:tcW w:type="dxa" w:w="2064"/>
          </w:tcPr>
          <w:p>
            <w:r>
              <w:t>Expected Market Return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العائد المتوقع للسوق</w:t>
            </w:r>
          </w:p>
        </w:tc>
        <w:tc>
          <w:tcPr>
            <w:tcW w:type="dxa" w:w="2064"/>
          </w:tcPr>
          <w:p>
            <w:r>
              <w:t>13</w:t>
            </w:r>
          </w:p>
        </w:tc>
      </w:tr>
      <w:tr>
        <w:tc>
          <w:tcPr>
            <w:tcW w:type="dxa" w:w="2064"/>
          </w:tcPr>
          <w:p>
            <w:r>
              <w:t>A44</w:t>
            </w:r>
          </w:p>
        </w:tc>
        <w:tc>
          <w:tcPr>
            <w:tcW w:type="dxa" w:w="2064"/>
          </w:tcPr>
          <w:p>
            <w:r>
              <w:t>Re</w:t>
            </w:r>
          </w:p>
        </w:tc>
        <w:tc>
          <w:tcPr>
            <w:tcW w:type="dxa" w:w="2064"/>
          </w:tcPr>
          <w:p>
            <w:r>
              <w:t>Cost of Equity (required return)</w:t>
            </w:r>
          </w:p>
        </w:tc>
        <w:tc>
          <w:tcPr>
            <w:tcW w:type="dxa" w:w="2064"/>
          </w:tcPr>
          <w:p>
            <w:pPr>
              <w:bidi/>
            </w:pPr>
            <w:r>
              <w:t>تكلفة الملكية (العائد المطلوب)</w:t>
            </w:r>
          </w:p>
        </w:tc>
        <w:tc>
          <w:tcPr>
            <w:tcW w:type="dxa" w:w="2064"/>
          </w:tcPr>
          <w:p>
            <w:r>
              <w:t>13</w:t>
            </w:r>
          </w:p>
        </w:tc>
      </w:tr>
      <w:tr>
        <w:tc>
          <w:tcPr>
            <w:tcW w:type="dxa" w:w="2064"/>
          </w:tcPr>
          <w:p>
            <w:r>
              <w:t>A45</w:t>
            </w:r>
          </w:p>
        </w:tc>
        <w:tc>
          <w:tcPr>
            <w:tcW w:type="dxa" w:w="2064"/>
          </w:tcPr>
          <w:p>
            <w:r>
              <w:t>GDP</w:t>
            </w:r>
          </w:p>
        </w:tc>
        <w:tc>
          <w:tcPr>
            <w:tcW w:type="dxa" w:w="2064"/>
          </w:tcPr>
          <w:p>
            <w:r>
              <w:t>Gross Domestic Product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الناتج المحلي الإجمالي</w:t>
            </w:r>
          </w:p>
        </w:tc>
        <w:tc>
          <w:tcPr>
            <w:tcW w:type="dxa" w:w="2064"/>
          </w:tcPr>
          <w:p>
            <w:r>
              <w:t>12</w:t>
            </w:r>
          </w:p>
        </w:tc>
      </w:tr>
      <w:tr>
        <w:tc>
          <w:tcPr>
            <w:tcW w:type="dxa" w:w="2064"/>
          </w:tcPr>
          <w:p>
            <w:r>
              <w:t>A46</w:t>
            </w:r>
          </w:p>
        </w:tc>
        <w:tc>
          <w:tcPr>
            <w:tcW w:type="dxa" w:w="2064"/>
          </w:tcPr>
          <w:p>
            <w:r>
              <w:t>PBP</w:t>
            </w:r>
          </w:p>
        </w:tc>
        <w:tc>
          <w:tcPr>
            <w:tcW w:type="dxa" w:w="2064"/>
          </w:tcPr>
          <w:p>
            <w:r>
              <w:t>Payback Period</w:t>
            </w:r>
          </w:p>
        </w:tc>
        <w:tc>
          <w:tcPr>
            <w:tcW w:type="dxa" w:w="2064"/>
          </w:tcPr>
          <w:p>
            <w:pPr>
              <w:bidi/>
            </w:pPr>
            <w:r>
              <w:t>فترة الاسترداد</w:t>
            </w:r>
          </w:p>
        </w:tc>
        <w:tc>
          <w:tcPr>
            <w:tcW w:type="dxa" w:w="2064"/>
          </w:tcPr>
          <w:p>
            <w:r>
              <w:t>16</w:t>
            </w:r>
          </w:p>
        </w:tc>
      </w:tr>
      <w:tr>
        <w:tc>
          <w:tcPr>
            <w:tcW w:type="dxa" w:w="2064"/>
          </w:tcPr>
          <w:p>
            <w:r>
              <w:t>A47</w:t>
            </w:r>
          </w:p>
        </w:tc>
        <w:tc>
          <w:tcPr>
            <w:tcW w:type="dxa" w:w="2064"/>
          </w:tcPr>
          <w:p>
            <w:r>
              <w:t>DPBP</w:t>
            </w:r>
          </w:p>
        </w:tc>
        <w:tc>
          <w:tcPr>
            <w:tcW w:type="dxa" w:w="2064"/>
          </w:tcPr>
          <w:p>
            <w:r>
              <w:t>Discounted Payback Period</w:t>
            </w:r>
          </w:p>
        </w:tc>
        <w:tc>
          <w:tcPr>
            <w:tcW w:type="dxa" w:w="2064"/>
          </w:tcPr>
          <w:p>
            <w:pPr>
              <w:bidi/>
            </w:pPr>
            <w:r>
              <w:t>فترة الاسترداد المخصومة</w:t>
            </w:r>
          </w:p>
        </w:tc>
        <w:tc>
          <w:tcPr>
            <w:tcW w:type="dxa" w:w="2064"/>
          </w:tcPr>
          <w:p>
            <w:r>
              <w:t>16</w:t>
            </w:r>
          </w:p>
        </w:tc>
      </w:tr>
      <w:tr>
        <w:tc>
          <w:tcPr>
            <w:tcW w:type="dxa" w:w="2064"/>
          </w:tcPr>
          <w:p>
            <w:r>
              <w:t>A48</w:t>
            </w:r>
          </w:p>
        </w:tc>
        <w:tc>
          <w:tcPr>
            <w:tcW w:type="dxa" w:w="2064"/>
          </w:tcPr>
          <w:p>
            <w:r>
              <w:t>NPV</w:t>
            </w:r>
          </w:p>
        </w:tc>
        <w:tc>
          <w:tcPr>
            <w:tcW w:type="dxa" w:w="2064"/>
          </w:tcPr>
          <w:p>
            <w:r>
              <w:t>Net Present Value</w:t>
            </w:r>
          </w:p>
        </w:tc>
        <w:tc>
          <w:tcPr>
            <w:tcW w:type="dxa" w:w="2064"/>
          </w:tcPr>
          <w:p>
            <w:pPr>
              <w:bidi/>
            </w:pPr>
            <w:r>
              <w:t>صافي القيمة الحالية</w:t>
            </w:r>
          </w:p>
        </w:tc>
        <w:tc>
          <w:tcPr>
            <w:tcW w:type="dxa" w:w="2064"/>
          </w:tcPr>
          <w:p>
            <w:r>
              <w:t>16</w:t>
            </w:r>
          </w:p>
        </w:tc>
      </w:tr>
      <w:tr>
        <w:tc>
          <w:tcPr>
            <w:tcW w:type="dxa" w:w="2064"/>
          </w:tcPr>
          <w:p>
            <w:r>
              <w:t>A49</w:t>
            </w:r>
          </w:p>
        </w:tc>
        <w:tc>
          <w:tcPr>
            <w:tcW w:type="dxa" w:w="2064"/>
          </w:tcPr>
          <w:p>
            <w:r>
              <w:t>IRR</w:t>
            </w:r>
          </w:p>
        </w:tc>
        <w:tc>
          <w:tcPr>
            <w:tcW w:type="dxa" w:w="2064"/>
          </w:tcPr>
          <w:p>
            <w:r>
              <w:t>Internal Rate of Return</w:t>
            </w:r>
          </w:p>
        </w:tc>
        <w:tc>
          <w:tcPr>
            <w:tcW w:type="dxa" w:w="2064"/>
          </w:tcPr>
          <w:p>
            <w:pPr>
              <w:bidi/>
            </w:pPr>
            <w:r>
              <w:t>معدل العائد الداخلي</w:t>
            </w:r>
          </w:p>
        </w:tc>
        <w:tc>
          <w:tcPr>
            <w:tcW w:type="dxa" w:w="2064"/>
          </w:tcPr>
          <w:p>
            <w:r>
              <w:t>16</w:t>
            </w:r>
          </w:p>
        </w:tc>
      </w:tr>
      <w:tr>
        <w:tc>
          <w:tcPr>
            <w:tcW w:type="dxa" w:w="2064"/>
          </w:tcPr>
          <w:p>
            <w:r>
              <w:t>A50</w:t>
            </w:r>
          </w:p>
        </w:tc>
        <w:tc>
          <w:tcPr>
            <w:tcW w:type="dxa" w:w="2064"/>
          </w:tcPr>
          <w:p>
            <w:r>
              <w:t>PI</w:t>
            </w:r>
          </w:p>
        </w:tc>
        <w:tc>
          <w:tcPr>
            <w:tcW w:type="dxa" w:w="2064"/>
          </w:tcPr>
          <w:p>
            <w:r>
              <w:t>Profitability Index</w:t>
            </w:r>
          </w:p>
        </w:tc>
        <w:tc>
          <w:tcPr>
            <w:tcW w:type="dxa" w:w="2064"/>
          </w:tcPr>
          <w:p>
            <w:pPr>
              <w:bidi/>
            </w:pPr>
            <w:r>
              <w:t>مؤشر الربحية</w:t>
            </w:r>
          </w:p>
        </w:tc>
        <w:tc>
          <w:tcPr>
            <w:tcW w:type="dxa" w:w="2064"/>
          </w:tcPr>
          <w:p>
            <w:r>
              <w:t>16</w:t>
            </w:r>
          </w:p>
        </w:tc>
      </w:tr>
      <w:tr>
        <w:tc>
          <w:tcPr>
            <w:tcW w:type="dxa" w:w="2064"/>
          </w:tcPr>
          <w:p>
            <w:r>
              <w:t>A51</w:t>
            </w:r>
          </w:p>
        </w:tc>
        <w:tc>
          <w:tcPr>
            <w:tcW w:type="dxa" w:w="2064"/>
          </w:tcPr>
          <w:p>
            <w:r>
              <w:t>ARR</w:t>
            </w:r>
          </w:p>
        </w:tc>
        <w:tc>
          <w:tcPr>
            <w:tcW w:type="dxa" w:w="2064"/>
          </w:tcPr>
          <w:p>
            <w:r>
              <w:t>Average Rate of Return</w:t>
            </w:r>
          </w:p>
        </w:tc>
        <w:tc>
          <w:tcPr>
            <w:tcW w:type="dxa" w:w="2064"/>
          </w:tcPr>
          <w:p>
            <w:pPr>
              <w:bidi/>
            </w:pPr>
            <w:r>
              <w:t>معدل العائد المتوسط</w:t>
            </w:r>
          </w:p>
        </w:tc>
        <w:tc>
          <w:tcPr>
            <w:tcW w:type="dxa" w:w="2064"/>
          </w:tcPr>
          <w:p>
            <w:r>
              <w:t>16</w:t>
            </w:r>
          </w:p>
        </w:tc>
      </w:tr>
      <w:tr>
        <w:tc>
          <w:tcPr>
            <w:tcW w:type="dxa" w:w="2064"/>
          </w:tcPr>
          <w:p>
            <w:r>
              <w:t>A52</w:t>
            </w:r>
          </w:p>
        </w:tc>
        <w:tc>
          <w:tcPr>
            <w:tcW w:type="dxa" w:w="2064"/>
          </w:tcPr>
          <w:p>
            <w:r>
              <w:t>MNC</w:t>
            </w:r>
          </w:p>
        </w:tc>
        <w:tc>
          <w:tcPr>
            <w:tcW w:type="dxa" w:w="2064"/>
          </w:tcPr>
          <w:p>
            <w:r>
              <w:t>Multinational Corporation</w:t>
            </w:r>
          </w:p>
        </w:tc>
        <w:tc>
          <w:tcPr>
            <w:tcW w:type="dxa" w:w="2064"/>
          </w:tcPr>
          <w:p>
            <w:pPr>
              <w:bidi/>
            </w:pPr>
            <w:r>
              <w:t>شركة متعددة الجنسيات</w:t>
            </w:r>
          </w:p>
        </w:tc>
        <w:tc>
          <w:tcPr>
            <w:tcW w:type="dxa" w:w="2064"/>
          </w:tcPr>
          <w:p>
            <w:r>
              <w:t>17</w:t>
            </w:r>
          </w:p>
        </w:tc>
      </w:tr>
      <w:tr>
        <w:tc>
          <w:tcPr>
            <w:tcW w:type="dxa" w:w="2064"/>
          </w:tcPr>
          <w:p>
            <w:r>
              <w:t>A53</w:t>
            </w:r>
          </w:p>
        </w:tc>
        <w:tc>
          <w:tcPr>
            <w:tcW w:type="dxa" w:w="2064"/>
          </w:tcPr>
          <w:p>
            <w:r>
              <w:t>FDI</w:t>
            </w:r>
          </w:p>
        </w:tc>
        <w:tc>
          <w:tcPr>
            <w:tcW w:type="dxa" w:w="2064"/>
          </w:tcPr>
          <w:p>
            <w:r>
              <w:t>Foreign Direct Investment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الاستثمار الأجنبي المباشر</w:t>
            </w:r>
          </w:p>
        </w:tc>
        <w:tc>
          <w:tcPr>
            <w:tcW w:type="dxa" w:w="2064"/>
          </w:tcPr>
          <w:p>
            <w:r>
              <w:t>17</w:t>
            </w:r>
          </w:p>
        </w:tc>
      </w:tr>
      <w:tr>
        <w:tc>
          <w:tcPr>
            <w:tcW w:type="dxa" w:w="2064"/>
          </w:tcPr>
          <w:p>
            <w:r>
              <w:t>A54</w:t>
            </w:r>
          </w:p>
        </w:tc>
        <w:tc>
          <w:tcPr>
            <w:tcW w:type="dxa" w:w="2064"/>
          </w:tcPr>
          <w:p>
            <w:r>
              <w:t>IPO</w:t>
            </w:r>
          </w:p>
        </w:tc>
        <w:tc>
          <w:tcPr>
            <w:tcW w:type="dxa" w:w="2064"/>
          </w:tcPr>
          <w:p>
            <w:r>
              <w:t>Initial Public Offering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الطرح العام الأولي</w:t>
            </w:r>
          </w:p>
        </w:tc>
        <w:tc>
          <w:tcPr>
            <w:tcW w:type="dxa" w:w="2064"/>
          </w:tcPr>
          <w:p>
            <w:r>
              <w:t>9</w:t>
            </w:r>
          </w:p>
        </w:tc>
      </w:tr>
      <w:tr>
        <w:tc>
          <w:tcPr>
            <w:tcW w:type="dxa" w:w="2064"/>
          </w:tcPr>
          <w:p>
            <w:r>
              <w:t>A55</w:t>
            </w:r>
          </w:p>
        </w:tc>
        <w:tc>
          <w:tcPr>
            <w:tcW w:type="dxa" w:w="2064"/>
          </w:tcPr>
          <w:p>
            <w:r>
              <w:t>GM</w:t>
            </w:r>
          </w:p>
        </w:tc>
        <w:tc>
          <w:tcPr>
            <w:tcW w:type="dxa" w:w="2064"/>
          </w:tcPr>
          <w:p>
            <w:r>
              <w:t>Global Manager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المدير العالمي</w:t>
            </w:r>
          </w:p>
        </w:tc>
        <w:tc>
          <w:tcPr>
            <w:tcW w:type="dxa" w:w="2064"/>
          </w:tcPr>
          <w:p>
            <w:r>
              <w:t>17</w:t>
            </w:r>
          </w:p>
        </w:tc>
      </w:tr>
      <w:tr>
        <w:tc>
          <w:tcPr>
            <w:tcW w:type="dxa" w:w="2064"/>
          </w:tcPr>
          <w:p>
            <w:r>
              <w:t>A56</w:t>
            </w:r>
          </w:p>
        </w:tc>
        <w:tc>
          <w:tcPr>
            <w:tcW w:type="dxa" w:w="2064"/>
          </w:tcPr>
          <w:p>
            <w:r>
              <w:t>CS</w:t>
            </w:r>
          </w:p>
        </w:tc>
        <w:tc>
          <w:tcPr>
            <w:tcW w:type="dxa" w:w="2064"/>
          </w:tcPr>
          <w:p>
            <w:r>
              <w:t>Common Stock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السهم العادي</w:t>
            </w:r>
          </w:p>
        </w:tc>
        <w:tc>
          <w:tcPr>
            <w:tcW w:type="dxa" w:w="2064"/>
          </w:tcPr>
          <w:p>
            <w:r>
              <w:t>9</w:t>
            </w:r>
          </w:p>
        </w:tc>
      </w:tr>
      <w:tr>
        <w:tc>
          <w:tcPr>
            <w:tcW w:type="dxa" w:w="2064"/>
          </w:tcPr>
          <w:p>
            <w:r>
              <w:t>A57</w:t>
            </w:r>
          </w:p>
        </w:tc>
        <w:tc>
          <w:tcPr>
            <w:tcW w:type="dxa" w:w="2064"/>
          </w:tcPr>
          <w:p>
            <w:r>
              <w:t>AR</w:t>
            </w:r>
          </w:p>
        </w:tc>
        <w:tc>
          <w:tcPr>
            <w:tcW w:type="dxa" w:w="2064"/>
          </w:tcPr>
          <w:p>
            <w:r>
              <w:t>Annual Report (announcement)</w:t>
            </w:r>
          </w:p>
        </w:tc>
        <w:tc>
          <w:tcPr>
            <w:tcW w:type="dxa" w:w="2064"/>
          </w:tcPr>
          <w:p>
            <w:pPr>
              <w:bidi/>
            </w:pPr>
            <w:r>
              <w:t>التقرير السنوي (إعلان)</w:t>
            </w:r>
          </w:p>
        </w:tc>
        <w:tc>
          <w:tcPr>
            <w:tcW w:type="dxa" w:w="2064"/>
          </w:tcPr>
          <w:p>
            <w:r>
              <w:t>11</w:t>
            </w:r>
          </w:p>
        </w:tc>
      </w:tr>
    </w:tbl>
    <w:p>
      <w:pPr>
        <w:pStyle w:val="Heading1"/>
        <w:pageBreakBefore/>
      </w:pPr>
      <w:r>
        <w:t>C · Definitions — التعريفات</w:t>
      </w:r>
    </w:p>
    <w:p>
      <w:pPr>
        <w:keepNext/>
        <w:spacing w:after="20"/>
      </w:pPr>
      <w:r>
        <w:rPr>
          <w:b/>
        </w:rPr>
        <w:t xml:space="preserve">D01  </w:t>
      </w:r>
      <w:r>
        <w:rPr>
          <w:b/>
          <w:color w:val="0F4C81"/>
        </w:rPr>
        <w:t>Corporate finance</w:t>
      </w:r>
    </w:p>
    <w:p>
      <w:pPr>
        <w:spacing w:after="20"/>
      </w:pPr>
      <w:r>
        <w:t>Capital-structure decisions aimed at maximizing shareholders' wealth.</w:t>
      </w:r>
    </w:p>
    <w:p>
      <w:pPr>
        <w:bidi/>
        <w:spacing w:after="40"/>
      </w:pPr>
      <w:r>
        <w:rPr>
          <w:b/>
        </w:rPr>
        <w:t xml:space="preserve">المالية الإدارية: </w:t>
      </w:r>
      <w:r>
        <w:t>قرارات الهيكل الرأسمالي بهدف تعظيم ثروة المساهمين.</w:t>
      </w:r>
    </w:p>
    <w:p>
      <w:pPr>
        <w:keepNext/>
        <w:spacing w:after="20"/>
      </w:pPr>
      <w:r>
        <w:rPr>
          <w:b/>
        </w:rPr>
        <w:t xml:space="preserve">D02  </w:t>
      </w:r>
      <w:r>
        <w:rPr>
          <w:b/>
          <w:color w:val="0F4C81"/>
        </w:rPr>
        <w:t>Capital budgeting</w:t>
      </w:r>
    </w:p>
    <w:p>
      <w:pPr>
        <w:spacing w:after="20"/>
      </w:pPr>
      <w:r>
        <w:t>Analyzing potential investments in fixed assets.</w:t>
      </w:r>
    </w:p>
    <w:p>
      <w:pPr>
        <w:bidi/>
        <w:spacing w:after="40"/>
      </w:pPr>
      <w:r>
        <w:rPr>
          <w:b/>
        </w:rPr>
        <w:t xml:space="preserve">الموازنة الرأسمالية: </w:t>
      </w:r>
      <w:r>
        <w:t>تحليل الاستثمارات المحتملة في الأصول الثابتة.</w:t>
      </w:r>
    </w:p>
    <w:p>
      <w:pPr>
        <w:keepNext/>
        <w:spacing w:after="20"/>
      </w:pPr>
      <w:r>
        <w:rPr>
          <w:b/>
        </w:rPr>
        <w:t xml:space="preserve">D03  </w:t>
      </w:r>
      <w:r>
        <w:rPr>
          <w:b/>
          <w:color w:val="0F4C81"/>
        </w:rPr>
        <w:t>Budgeting</w:t>
      </w:r>
    </w:p>
    <w:p>
      <w:pPr>
        <w:spacing w:after="20"/>
      </w:pPr>
      <w:r>
        <w:t>Creating a plan to manage money by estimating future income/expenses.</w:t>
      </w:r>
    </w:p>
    <w:p>
      <w:pPr>
        <w:bidi/>
        <w:spacing w:after="40"/>
      </w:pPr>
      <w:r>
        <w:rPr>
          <w:b/>
        </w:rPr>
        <w:t xml:space="preserve">إعداد الموازنات: </w:t>
      </w:r>
      <w:r>
        <w:t>وضع خطة لإدارة المال بتقدير الدخل/المصروفات المستقبلية.</w:t>
      </w:r>
    </w:p>
    <w:p>
      <w:pPr>
        <w:keepNext/>
        <w:spacing w:after="20"/>
      </w:pPr>
      <w:r>
        <w:rPr>
          <w:b/>
        </w:rPr>
        <w:t xml:space="preserve">D04  </w:t>
      </w:r>
      <w:r>
        <w:rPr>
          <w:b/>
          <w:color w:val="0F4C81"/>
        </w:rPr>
        <w:t>Capital management</w:t>
      </w:r>
    </w:p>
    <w:p>
      <w:pPr>
        <w:spacing w:after="20"/>
      </w:pPr>
      <w:r>
        <w:t>Managing debt &amp; equity sources to keep short-term liquidity.</w:t>
      </w:r>
    </w:p>
    <w:p>
      <w:pPr>
        <w:bidi/>
        <w:spacing w:after="40"/>
      </w:pPr>
      <w:r>
        <w:rPr>
          <w:b/>
        </w:rPr>
        <w:t xml:space="preserve">إدارة رأس المال: </w:t>
      </w:r>
      <w:r>
        <w:t>إدارة مصادر الدين والملكية للحفاظ على سيولة قصيرة الأجل.</w:t>
      </w:r>
    </w:p>
    <w:p>
      <w:pPr>
        <w:keepNext/>
        <w:spacing w:after="20"/>
      </w:pPr>
      <w:r>
        <w:rPr>
          <w:b/>
        </w:rPr>
        <w:t xml:space="preserve">D05  </w:t>
      </w:r>
      <w:r>
        <w:rPr>
          <w:b/>
          <w:color w:val="0F4C81"/>
        </w:rPr>
        <w:t>Financial markets</w:t>
      </w:r>
    </w:p>
    <w:p>
      <w:pPr>
        <w:spacing w:after="20"/>
      </w:pPr>
      <w:r>
        <w:t>Marketplaces where securities trade (stock, bond, forex, derivatives).</w:t>
      </w:r>
    </w:p>
    <w:p>
      <w:pPr>
        <w:bidi/>
        <w:spacing w:after="40"/>
      </w:pPr>
      <w:r>
        <w:rPr>
          <w:b/>
        </w:rPr>
        <w:t xml:space="preserve">الأسواق المالية: </w:t>
      </w:r>
      <w:r>
        <w:t>أماكن تداول الأوراق المالية (أسهم وسندات وصرف ومشتقات).</w:t>
      </w:r>
    </w:p>
    <w:p>
      <w:pPr>
        <w:keepNext/>
        <w:spacing w:after="20"/>
      </w:pPr>
      <w:r>
        <w:rPr>
          <w:b/>
        </w:rPr>
        <w:t xml:space="preserve">D06  </w:t>
      </w:r>
      <w:r>
        <w:rPr>
          <w:b/>
          <w:color w:val="0F4C81"/>
        </w:rPr>
        <w:t>Financial services</w:t>
      </w:r>
    </w:p>
    <w:p>
      <w:pPr>
        <w:spacing w:after="20"/>
      </w:pPr>
      <w:r>
        <w:t>Design &amp; delivery of advice and financial products.</w:t>
      </w:r>
    </w:p>
    <w:p>
      <w:pPr>
        <w:bidi/>
        <w:spacing w:after="40"/>
      </w:pPr>
      <w:r>
        <w:rPr>
          <w:b/>
        </w:rPr>
        <w:t xml:space="preserve">الخدمات المالية: </w:t>
      </w:r>
      <w:r>
        <w:t>تصميم وتقديم الاستشارة والمنتجات المالية.</w:t>
      </w:r>
    </w:p>
    <w:p>
      <w:pPr>
        <w:keepNext/>
        <w:spacing w:after="20"/>
      </w:pPr>
      <w:r>
        <w:rPr>
          <w:b/>
        </w:rPr>
        <w:t xml:space="preserve">D07  </w:t>
      </w:r>
      <w:r>
        <w:rPr>
          <w:b/>
          <w:color w:val="0F4C81"/>
        </w:rPr>
        <w:t>Earnings per share</w:t>
      </w:r>
      <w:r>
        <w:rPr>
          <w:b/>
          <w:sz w:val="18"/>
        </w:rPr>
        <w:t xml:space="preserve">  (EPS)</w:t>
      </w:r>
    </w:p>
    <w:p>
      <w:pPr>
        <w:spacing w:after="20"/>
      </w:pPr>
      <w:r>
        <w:t>(NI − preferred dividends) ÷ outstanding common shares.</w:t>
      </w:r>
    </w:p>
    <w:p>
      <w:pPr>
        <w:bidi/>
        <w:spacing w:after="40"/>
      </w:pPr>
      <w:r>
        <w:rPr>
          <w:b/>
        </w:rPr>
        <w:t xml:space="preserve">ربحية السهم: </w:t>
      </w:r>
      <w:r>
        <w:t>(صافي الدخل − أرباح الممتاز) ÷ الأسهم العادية القائمة.</w:t>
      </w:r>
    </w:p>
    <w:p>
      <w:pPr>
        <w:keepNext/>
        <w:spacing w:after="20"/>
      </w:pPr>
      <w:r>
        <w:rPr>
          <w:b/>
        </w:rPr>
        <w:t xml:space="preserve">D08  </w:t>
      </w:r>
      <w:r>
        <w:rPr>
          <w:b/>
          <w:color w:val="0F4C81"/>
        </w:rPr>
        <w:t>Depreciation</w:t>
      </w:r>
    </w:p>
    <w:p>
      <w:pPr>
        <w:spacing w:after="20"/>
      </w:pPr>
      <w:r>
        <w:t>Non-cash charge allocating an asset's cost over its recovery period.</w:t>
      </w:r>
    </w:p>
    <w:p>
      <w:pPr>
        <w:bidi/>
        <w:spacing w:after="40"/>
      </w:pPr>
      <w:r>
        <w:rPr>
          <w:b/>
        </w:rPr>
        <w:t xml:space="preserve">الإهلاك: </w:t>
      </w:r>
      <w:r>
        <w:t>مصروف غير نقدي يوزع تكلفة الأصل على فترة استرداده.</w:t>
      </w:r>
    </w:p>
    <w:p>
      <w:pPr>
        <w:keepNext/>
        <w:spacing w:after="20"/>
      </w:pPr>
      <w:r>
        <w:rPr>
          <w:b/>
        </w:rPr>
        <w:t xml:space="preserve">D09  </w:t>
      </w:r>
      <w:r>
        <w:rPr>
          <w:b/>
          <w:color w:val="0F4C81"/>
        </w:rPr>
        <w:t>MACRS</w:t>
      </w:r>
      <w:r>
        <w:rPr>
          <w:b/>
          <w:sz w:val="18"/>
        </w:rPr>
        <w:t xml:space="preserve">  (MACRS)</w:t>
      </w:r>
    </w:p>
    <w:p>
      <w:pPr>
        <w:spacing w:after="20"/>
      </w:pPr>
      <w:r>
        <w:t>Depreciation rate schedule (5-yr: 20/32/19/12/12/5%).</w:t>
      </w:r>
    </w:p>
    <w:p>
      <w:pPr>
        <w:bidi/>
        <w:spacing w:after="40"/>
      </w:pPr>
      <w:r>
        <w:rPr>
          <w:b/>
        </w:rPr>
        <w:t xml:space="preserve">MACRS: </w:t>
      </w:r>
      <w:r>
        <w:t>جدول معدلات الإهلاك (5 سنوات: 20/32/19/12/12/5%).</w:t>
      </w:r>
    </w:p>
    <w:p>
      <w:pPr>
        <w:keepNext/>
        <w:spacing w:after="20"/>
      </w:pPr>
      <w:r>
        <w:rPr>
          <w:b/>
        </w:rPr>
        <w:t xml:space="preserve">D10  </w:t>
      </w:r>
      <w:r>
        <w:rPr>
          <w:b/>
          <w:color w:val="0F4C81"/>
        </w:rPr>
        <w:t>Tax shield</w:t>
      </w:r>
    </w:p>
    <w:p>
      <w:pPr>
        <w:spacing w:after="20"/>
      </w:pPr>
      <w:r>
        <w:t>Cash tax saved via deductible charges (depreciation, interest).</w:t>
      </w:r>
    </w:p>
    <w:p>
      <w:pPr>
        <w:bidi/>
        <w:spacing w:after="40"/>
      </w:pPr>
      <w:r>
        <w:rPr>
          <w:b/>
        </w:rPr>
        <w:t xml:space="preserve">الدرع الضريبي: </w:t>
      </w:r>
      <w:r>
        <w:t>ضريبة نقدية موفرة عبر مصروفات قابلة للخصم (الإهلاك والفوائد).</w:t>
      </w:r>
    </w:p>
    <w:p>
      <w:pPr>
        <w:keepNext/>
        <w:spacing w:after="20"/>
      </w:pPr>
      <w:r>
        <w:rPr>
          <w:b/>
        </w:rPr>
        <w:t xml:space="preserve">D11  </w:t>
      </w:r>
      <w:r>
        <w:rPr>
          <w:b/>
          <w:color w:val="0F4C81"/>
        </w:rPr>
        <w:t>NOPAT</w:t>
      </w:r>
      <w:r>
        <w:rPr>
          <w:b/>
          <w:sz w:val="18"/>
        </w:rPr>
        <w:t xml:space="preserve">  (NOPAT)</w:t>
      </w:r>
    </w:p>
    <w:p>
      <w:pPr>
        <w:spacing w:after="20"/>
      </w:pPr>
      <w:r>
        <w:t>EBIT × (1 − T).</w:t>
      </w:r>
    </w:p>
    <w:p>
      <w:pPr>
        <w:bidi/>
        <w:spacing w:after="40"/>
      </w:pPr>
      <w:r>
        <w:rPr>
          <w:b/>
        </w:rPr>
        <w:t xml:space="preserve">صافي الربح التشغيلي بعد الضريبة: </w:t>
      </w:r>
      <w:r>
        <w:t>EBIT × (1 − الضريبة).</w:t>
      </w:r>
    </w:p>
    <w:p>
      <w:pPr>
        <w:keepNext/>
        <w:spacing w:after="20"/>
      </w:pPr>
      <w:r>
        <w:rPr>
          <w:b/>
        </w:rPr>
        <w:t xml:space="preserve">D12  </w:t>
      </w:r>
      <w:r>
        <w:rPr>
          <w:b/>
          <w:color w:val="0F4C81"/>
        </w:rPr>
        <w:t>Operating cash flow</w:t>
      </w:r>
      <w:r>
        <w:rPr>
          <w:b/>
          <w:sz w:val="18"/>
        </w:rPr>
        <w:t xml:space="preserve">  (OCF)</w:t>
      </w:r>
    </w:p>
    <w:p>
      <w:pPr>
        <w:spacing w:after="20"/>
      </w:pPr>
      <w:r>
        <w:t>NOPAT + depreciation (unlevered) or NI + depreciation (levered).</w:t>
      </w:r>
    </w:p>
    <w:p>
      <w:pPr>
        <w:bidi/>
        <w:spacing w:after="40"/>
      </w:pPr>
      <w:r>
        <w:rPr>
          <w:b/>
        </w:rPr>
        <w:t xml:space="preserve">التدفق النقدي التشغيلي: </w:t>
      </w:r>
      <w:r>
        <w:t>NOPAT + الإهلاك (غير ممول) أو صافي الدخل + الإهلاك (ممول).</w:t>
      </w:r>
    </w:p>
    <w:p>
      <w:pPr>
        <w:keepNext/>
        <w:spacing w:after="20"/>
      </w:pPr>
      <w:r>
        <w:rPr>
          <w:b/>
        </w:rPr>
        <w:t xml:space="preserve">D13  </w:t>
      </w:r>
      <w:r>
        <w:rPr>
          <w:b/>
          <w:color w:val="0F4C81"/>
        </w:rPr>
        <w:t>Free cash flow</w:t>
      </w:r>
      <w:r>
        <w:rPr>
          <w:b/>
          <w:sz w:val="18"/>
        </w:rPr>
        <w:t xml:space="preserve">  (FCF)</w:t>
      </w:r>
    </w:p>
    <w:p>
      <w:pPr>
        <w:spacing w:after="20"/>
      </w:pPr>
      <w:r>
        <w:t>OCF − NFAI − NCAI: cash for investors after growth funding.</w:t>
      </w:r>
    </w:p>
    <w:p>
      <w:pPr>
        <w:bidi/>
        <w:spacing w:after="40"/>
      </w:pPr>
      <w:r>
        <w:rPr>
          <w:b/>
        </w:rPr>
        <w:t xml:space="preserve">التدفق النقدي الحر: </w:t>
      </w:r>
      <w:r>
        <w:t>OCF − NFAI − NCAI: نقد للمستثمرين بعد تمويل النمو.</w:t>
      </w:r>
    </w:p>
    <w:p>
      <w:pPr>
        <w:keepNext/>
        <w:spacing w:after="20"/>
      </w:pPr>
      <w:r>
        <w:rPr>
          <w:b/>
        </w:rPr>
        <w:t xml:space="preserve">D14  </w:t>
      </w:r>
      <w:r>
        <w:rPr>
          <w:b/>
          <w:color w:val="0F4C81"/>
        </w:rPr>
        <w:t>Free cash flow to the firm</w:t>
      </w:r>
      <w:r>
        <w:rPr>
          <w:b/>
          <w:sz w:val="18"/>
        </w:rPr>
        <w:t xml:space="preserve">  (FCFF)</w:t>
      </w:r>
    </w:p>
    <w:p>
      <w:pPr>
        <w:spacing w:after="20"/>
      </w:pPr>
      <w:r>
        <w:t>NI + Dep + Int(1−T) − capex − ΔWC.</w:t>
      </w:r>
    </w:p>
    <w:p>
      <w:pPr>
        <w:bidi/>
        <w:spacing w:after="40"/>
      </w:pPr>
      <w:r>
        <w:rPr>
          <w:b/>
        </w:rPr>
        <w:t xml:space="preserve">التدفق الحر للمنشأة: </w:t>
      </w:r>
      <w:r>
        <w:t>صافي الدخل + الإهلاك + الفوائد(1−الضريبة) − الإنفاق الرأسمالي − ΔWC.</w:t>
      </w:r>
    </w:p>
    <w:p>
      <w:pPr>
        <w:keepNext/>
        <w:spacing w:after="20"/>
      </w:pPr>
      <w:r>
        <w:rPr>
          <w:b/>
        </w:rPr>
        <w:t xml:space="preserve">D15  </w:t>
      </w:r>
      <w:r>
        <w:rPr>
          <w:b/>
          <w:color w:val="0F4C81"/>
        </w:rPr>
        <w:t>Working capital</w:t>
      </w:r>
    </w:p>
    <w:p>
      <w:pPr>
        <w:spacing w:after="20"/>
      </w:pPr>
      <w:r>
        <w:t>Current assets managed against current liabilities.</w:t>
      </w:r>
    </w:p>
    <w:p>
      <w:pPr>
        <w:bidi/>
        <w:spacing w:after="40"/>
      </w:pPr>
      <w:r>
        <w:rPr>
          <w:b/>
        </w:rPr>
        <w:t xml:space="preserve">رأس المال العامل: </w:t>
      </w:r>
      <w:r>
        <w:t>أصول متداولة تُدار مقابل الخصوم المتداولة.</w:t>
      </w:r>
    </w:p>
    <w:p>
      <w:pPr>
        <w:keepNext/>
        <w:spacing w:after="20"/>
      </w:pPr>
      <w:r>
        <w:rPr>
          <w:b/>
        </w:rPr>
        <w:t xml:space="preserve">D16  </w:t>
      </w:r>
      <w:r>
        <w:rPr>
          <w:b/>
          <w:color w:val="0F4C81"/>
        </w:rPr>
        <w:t>Cash budget</w:t>
      </w:r>
    </w:p>
    <w:p>
      <w:pPr>
        <w:spacing w:after="20"/>
      </w:pPr>
      <w:r>
        <w:t>Month-by-month forecast of receipts, disbursements and financing.</w:t>
      </w:r>
    </w:p>
    <w:p>
      <w:pPr>
        <w:bidi/>
        <w:spacing w:after="40"/>
      </w:pPr>
      <w:r>
        <w:rPr>
          <w:b/>
        </w:rPr>
        <w:t xml:space="preserve">الموازنة النقدية: </w:t>
      </w:r>
      <w:r>
        <w:t>توقع شهر بشهر للمقبوضات والمدفوعات والتمويل.</w:t>
      </w:r>
    </w:p>
    <w:p>
      <w:pPr>
        <w:keepNext/>
        <w:spacing w:after="20"/>
      </w:pPr>
      <w:r>
        <w:rPr>
          <w:b/>
        </w:rPr>
        <w:t xml:space="preserve">D17  </w:t>
      </w:r>
      <w:r>
        <w:rPr>
          <w:b/>
          <w:color w:val="0F4C81"/>
        </w:rPr>
        <w:t>Pro-forma statements</w:t>
      </w:r>
    </w:p>
    <w:p>
      <w:pPr>
        <w:spacing w:after="20"/>
      </w:pPr>
      <w:r>
        <w:t>Projected statements for profit planning.</w:t>
      </w:r>
    </w:p>
    <w:p>
      <w:pPr>
        <w:bidi/>
        <w:spacing w:after="40"/>
      </w:pPr>
      <w:r>
        <w:rPr>
          <w:b/>
        </w:rPr>
        <w:t xml:space="preserve">القوائم التخطيطية: </w:t>
      </w:r>
      <w:r>
        <w:t>قوائم متوقعة للتخطيط للربح.</w:t>
      </w:r>
    </w:p>
    <w:p>
      <w:pPr>
        <w:keepNext/>
        <w:spacing w:after="20"/>
      </w:pPr>
      <w:r>
        <w:rPr>
          <w:b/>
        </w:rPr>
        <w:t xml:space="preserve">D18  </w:t>
      </w:r>
      <w:r>
        <w:rPr>
          <w:b/>
          <w:color w:val="0F4C81"/>
        </w:rPr>
        <w:t>Common-size analysis</w:t>
      </w:r>
    </w:p>
    <w:p>
      <w:pPr>
        <w:spacing w:after="20"/>
      </w:pPr>
      <w:r>
        <w:t>Each item as % of revenues (IS) or assets (BS).</w:t>
      </w:r>
    </w:p>
    <w:p>
      <w:pPr>
        <w:bidi/>
        <w:spacing w:after="40"/>
      </w:pPr>
      <w:r>
        <w:rPr>
          <w:b/>
        </w:rPr>
        <w:t xml:space="preserve">تحليل المقاس المشترك: </w:t>
      </w:r>
      <w:r>
        <w:t>كل بند نسبةً للإيرادات (الدخل) أو الأصول (الميزانية).</w:t>
      </w:r>
    </w:p>
    <w:p>
      <w:pPr>
        <w:keepNext/>
        <w:spacing w:after="20"/>
      </w:pPr>
      <w:r>
        <w:rPr>
          <w:b/>
        </w:rPr>
        <w:t xml:space="preserve">D19  </w:t>
      </w:r>
      <w:r>
        <w:rPr>
          <w:b/>
          <w:color w:val="0F4C81"/>
        </w:rPr>
        <w:t>Trend analysis</w:t>
      </w:r>
    </w:p>
    <w:p>
      <w:pPr>
        <w:spacing w:after="20"/>
      </w:pPr>
      <w:r>
        <w:t>Percent change of an item from a base year.</w:t>
      </w:r>
    </w:p>
    <w:p>
      <w:pPr>
        <w:bidi/>
        <w:spacing w:after="40"/>
      </w:pPr>
      <w:r>
        <w:rPr>
          <w:b/>
        </w:rPr>
        <w:t xml:space="preserve">تحليل الاتجاهات: </w:t>
      </w:r>
      <w:r>
        <w:t>نسبة تغير بند عن سنة الأساس.</w:t>
      </w:r>
    </w:p>
    <w:p>
      <w:pPr>
        <w:keepNext/>
        <w:spacing w:after="20"/>
      </w:pPr>
      <w:r>
        <w:rPr>
          <w:b/>
        </w:rPr>
        <w:t xml:space="preserve">D20  </w:t>
      </w:r>
      <w:r>
        <w:rPr>
          <w:b/>
          <w:color w:val="0F4C81"/>
        </w:rPr>
        <w:t>Liquidity</w:t>
      </w:r>
    </w:p>
    <w:p>
      <w:pPr>
        <w:spacing w:after="20"/>
      </w:pPr>
      <w:r>
        <w:t>Ability to cover short-term liabilities.</w:t>
      </w:r>
    </w:p>
    <w:p>
      <w:pPr>
        <w:bidi/>
        <w:spacing w:after="40"/>
      </w:pPr>
      <w:r>
        <w:rPr>
          <w:b/>
        </w:rPr>
        <w:t xml:space="preserve">السيولة: </w:t>
      </w:r>
      <w:r>
        <w:t>القدرة على تغطية الخصوم القصيرة.</w:t>
      </w:r>
    </w:p>
    <w:p>
      <w:pPr>
        <w:keepNext/>
        <w:spacing w:after="20"/>
      </w:pPr>
      <w:r>
        <w:rPr>
          <w:b/>
        </w:rPr>
        <w:t xml:space="preserve">D21  </w:t>
      </w:r>
      <w:r>
        <w:rPr>
          <w:b/>
          <w:color w:val="0F4C81"/>
        </w:rPr>
        <w:t>Solvency</w:t>
      </w:r>
    </w:p>
    <w:p>
      <w:pPr>
        <w:spacing w:after="20"/>
      </w:pPr>
      <w:r>
        <w:t>Ability to survive over the long term.</w:t>
      </w:r>
    </w:p>
    <w:p>
      <w:pPr>
        <w:bidi/>
        <w:spacing w:after="40"/>
      </w:pPr>
      <w:r>
        <w:rPr>
          <w:b/>
        </w:rPr>
        <w:t xml:space="preserve">الملاءة: </w:t>
      </w:r>
      <w:r>
        <w:t>القدرة على البقاء طويل الأجل.</w:t>
      </w:r>
    </w:p>
    <w:p>
      <w:pPr>
        <w:keepNext/>
        <w:spacing w:after="20"/>
      </w:pPr>
      <w:r>
        <w:rPr>
          <w:b/>
        </w:rPr>
        <w:t xml:space="preserve">D22  </w:t>
      </w:r>
      <w:r>
        <w:rPr>
          <w:b/>
          <w:color w:val="0F4C81"/>
        </w:rPr>
        <w:t>Current ratio</w:t>
      </w:r>
    </w:p>
    <w:p>
      <w:pPr>
        <w:spacing w:after="20"/>
      </w:pPr>
      <w:r>
        <w:t>CA ÷ CL; ≥1 is healthy.</w:t>
      </w:r>
    </w:p>
    <w:p>
      <w:pPr>
        <w:bidi/>
        <w:spacing w:after="40"/>
      </w:pPr>
      <w:r>
        <w:rPr>
          <w:b/>
        </w:rPr>
        <w:t xml:space="preserve">نسبة التداول: </w:t>
      </w:r>
      <w:r>
        <w:t>المتداولة ÷ الخصوم المتداولة؛ ≥1 صحيحة.</w:t>
      </w:r>
    </w:p>
    <w:p>
      <w:pPr>
        <w:keepNext/>
        <w:spacing w:after="20"/>
      </w:pPr>
      <w:r>
        <w:rPr>
          <w:b/>
        </w:rPr>
        <w:t xml:space="preserve">D23  </w:t>
      </w:r>
      <w:r>
        <w:rPr>
          <w:b/>
          <w:color w:val="0F4C81"/>
        </w:rPr>
        <w:t>Quick ratio</w:t>
      </w:r>
    </w:p>
    <w:p>
      <w:pPr>
        <w:spacing w:after="20"/>
      </w:pPr>
      <w:r>
        <w:t>(Cash + ST inv + AR) ÷ CL; excludes inventory.</w:t>
      </w:r>
    </w:p>
    <w:p>
      <w:pPr>
        <w:bidi/>
        <w:spacing w:after="40"/>
      </w:pPr>
      <w:r>
        <w:rPr>
          <w:b/>
        </w:rPr>
        <w:t xml:space="preserve">النسبة السريعة: </w:t>
      </w:r>
      <w:r>
        <w:t>(نقد + استثمارات قصيرة + مدينون) ÷ الخصوم المتداولة؛ تستبعد المخزون.</w:t>
      </w:r>
    </w:p>
    <w:p>
      <w:pPr>
        <w:keepNext/>
        <w:spacing w:after="20"/>
      </w:pPr>
      <w:r>
        <w:rPr>
          <w:b/>
        </w:rPr>
        <w:t xml:space="preserve">D24  </w:t>
      </w:r>
      <w:r>
        <w:rPr>
          <w:b/>
          <w:color w:val="0F4C81"/>
        </w:rPr>
        <w:t>Times interest earned</w:t>
      </w:r>
      <w:r>
        <w:rPr>
          <w:b/>
          <w:sz w:val="18"/>
        </w:rPr>
        <w:t xml:space="preserve">  (TIE)</w:t>
      </w:r>
    </w:p>
    <w:p>
      <w:pPr>
        <w:spacing w:after="20"/>
      </w:pPr>
      <w:r>
        <w:t>EBIT ÷ interest expense.</w:t>
      </w:r>
    </w:p>
    <w:p>
      <w:pPr>
        <w:bidi/>
        <w:spacing w:after="40"/>
      </w:pPr>
      <w:r>
        <w:rPr>
          <w:b/>
        </w:rPr>
        <w:t xml:space="preserve">مرات تغطية الفوائد: </w:t>
      </w:r>
      <w:r>
        <w:t>EBIT ÷ مصروف الفوائد.</w:t>
      </w:r>
    </w:p>
    <w:p>
      <w:pPr>
        <w:keepNext/>
        <w:spacing w:after="20"/>
      </w:pPr>
      <w:r>
        <w:rPr>
          <w:b/>
        </w:rPr>
        <w:t xml:space="preserve">D25  </w:t>
      </w:r>
      <w:r>
        <w:rPr>
          <w:b/>
          <w:color w:val="0F4C81"/>
        </w:rPr>
        <w:t>Return on equity</w:t>
      </w:r>
      <w:r>
        <w:rPr>
          <w:b/>
          <w:sz w:val="18"/>
        </w:rPr>
        <w:t xml:space="preserve">  (ROE)</w:t>
      </w:r>
    </w:p>
    <w:p>
      <w:pPr>
        <w:spacing w:after="20"/>
      </w:pPr>
      <w:r>
        <w:t>NI ÷ average equity.</w:t>
      </w:r>
    </w:p>
    <w:p>
      <w:pPr>
        <w:bidi/>
        <w:spacing w:after="40"/>
      </w:pPr>
      <w:r>
        <w:rPr>
          <w:b/>
        </w:rPr>
        <w:t xml:space="preserve">العائد على الحقوق: </w:t>
      </w:r>
      <w:r>
        <w:t>صافي الدخل ÷ متوسط الحقوق.</w:t>
      </w:r>
    </w:p>
    <w:p>
      <w:pPr>
        <w:keepNext/>
        <w:spacing w:after="20"/>
      </w:pPr>
      <w:r>
        <w:rPr>
          <w:b/>
        </w:rPr>
        <w:t xml:space="preserve">D26  </w:t>
      </w:r>
      <w:r>
        <w:rPr>
          <w:b/>
          <w:color w:val="0F4C81"/>
        </w:rPr>
        <w:t>Price-earnings ratio</w:t>
      </w:r>
      <w:r>
        <w:rPr>
          <w:b/>
          <w:sz w:val="18"/>
        </w:rPr>
        <w:t xml:space="preserve">  (P/E)</w:t>
      </w:r>
    </w:p>
    <w:p>
      <w:pPr>
        <w:spacing w:after="20"/>
      </w:pPr>
      <w:r>
        <w:t>Market price ÷ EPS.</w:t>
      </w:r>
    </w:p>
    <w:p>
      <w:pPr>
        <w:bidi/>
        <w:spacing w:after="40"/>
      </w:pPr>
      <w:r>
        <w:rPr>
          <w:b/>
        </w:rPr>
        <w:t xml:space="preserve">نسبة السعر للربح: </w:t>
      </w:r>
      <w:r>
        <w:t>سعر السوق ÷ EPS.</w:t>
      </w:r>
    </w:p>
    <w:p>
      <w:pPr>
        <w:keepNext/>
        <w:spacing w:after="20"/>
      </w:pPr>
      <w:r>
        <w:rPr>
          <w:b/>
        </w:rPr>
        <w:t xml:space="preserve">D27  </w:t>
      </w:r>
      <w:r>
        <w:rPr>
          <w:b/>
          <w:color w:val="0F4C81"/>
        </w:rPr>
        <w:t>Common stock</w:t>
      </w:r>
    </w:p>
    <w:p>
      <w:pPr>
        <w:spacing w:after="20"/>
      </w:pPr>
      <w:r>
        <w:t>Residual claim with voting rights and no maturity.</w:t>
      </w:r>
    </w:p>
    <w:p>
      <w:pPr>
        <w:bidi/>
        <w:spacing w:after="40"/>
      </w:pPr>
      <w:r>
        <w:rPr>
          <w:b/>
        </w:rPr>
        <w:t xml:space="preserve">السهم العادي: </w:t>
      </w:r>
      <w:r>
        <w:t>مطالبة متبقية بحق تصويت وبلا أجل.</w:t>
      </w:r>
    </w:p>
    <w:p>
      <w:pPr>
        <w:keepNext/>
        <w:spacing w:after="20"/>
      </w:pPr>
      <w:r>
        <w:rPr>
          <w:b/>
        </w:rPr>
        <w:t xml:space="preserve">D28  </w:t>
      </w:r>
      <w:r>
        <w:rPr>
          <w:b/>
          <w:color w:val="0F4C81"/>
        </w:rPr>
        <w:t>Preferred stock</w:t>
      </w:r>
    </w:p>
    <w:p>
      <w:pPr>
        <w:spacing w:after="20"/>
      </w:pPr>
      <w:r>
        <w:t>Fixed cumulative dividends, prior claim; hybrid security.</w:t>
      </w:r>
    </w:p>
    <w:p>
      <w:pPr>
        <w:bidi/>
        <w:spacing w:after="40"/>
      </w:pPr>
      <w:r>
        <w:rPr>
          <w:b/>
        </w:rPr>
        <w:t xml:space="preserve">السهم الممتاز: </w:t>
      </w:r>
      <w:r>
        <w:t>توزيعات ثابتة تراكمية وأولوية مطالبة؛ ورقة هجينة.</w:t>
      </w:r>
    </w:p>
    <w:p>
      <w:pPr>
        <w:keepNext/>
        <w:spacing w:after="20"/>
      </w:pPr>
      <w:r>
        <w:rPr>
          <w:b/>
        </w:rPr>
        <w:t xml:space="preserve">D29  </w:t>
      </w:r>
      <w:r>
        <w:rPr>
          <w:b/>
          <w:color w:val="0F4C81"/>
        </w:rPr>
        <w:t>Par value</w:t>
      </w:r>
    </w:p>
    <w:p>
      <w:pPr>
        <w:spacing w:after="20"/>
      </w:pPr>
      <w:r>
        <w:t>Face value of a share or bond.</w:t>
      </w:r>
    </w:p>
    <w:p>
      <w:pPr>
        <w:bidi/>
        <w:spacing w:after="40"/>
      </w:pPr>
      <w:r>
        <w:rPr>
          <w:b/>
        </w:rPr>
        <w:t xml:space="preserve">القيمة الاسمية: </w:t>
      </w:r>
      <w:r>
        <w:t>القيمة الوجهية للسهم أو السند.</w:t>
      </w:r>
    </w:p>
    <w:p>
      <w:pPr>
        <w:keepNext/>
        <w:spacing w:after="20"/>
      </w:pPr>
      <w:r>
        <w:rPr>
          <w:b/>
        </w:rPr>
        <w:t xml:space="preserve">D30  </w:t>
      </w:r>
      <w:r>
        <w:rPr>
          <w:b/>
          <w:color w:val="0F4C81"/>
        </w:rPr>
        <w:t>IPO</w:t>
      </w:r>
      <w:r>
        <w:rPr>
          <w:b/>
          <w:sz w:val="18"/>
        </w:rPr>
        <w:t xml:space="preserve">  (IPO)</w:t>
      </w:r>
    </w:p>
    <w:p>
      <w:pPr>
        <w:spacing w:after="20"/>
      </w:pPr>
      <w:r>
        <w:t>First public sale of shares, via underwriting.</w:t>
      </w:r>
    </w:p>
    <w:p>
      <w:pPr>
        <w:bidi/>
        <w:spacing w:after="40"/>
      </w:pPr>
      <w:r>
        <w:rPr>
          <w:b/>
        </w:rPr>
        <w:t xml:space="preserve">الطرح العام الأولي: </w:t>
      </w:r>
      <w:r>
        <w:t>أول بيع عام للأسهم عبر تغطية اكتتاب.</w:t>
      </w:r>
    </w:p>
    <w:p>
      <w:pPr>
        <w:keepNext/>
        <w:spacing w:after="20"/>
      </w:pPr>
      <w:r>
        <w:rPr>
          <w:b/>
        </w:rPr>
        <w:t xml:space="preserve">D31  </w:t>
      </w:r>
      <w:r>
        <w:rPr>
          <w:b/>
          <w:color w:val="0F4C81"/>
        </w:rPr>
        <w:t>Underwriting</w:t>
      </w:r>
    </w:p>
    <w:p>
      <w:pPr>
        <w:spacing w:after="20"/>
      </w:pPr>
      <w:r>
        <w:t>Banker buys the issue and resells at a profit, bearing the risk.</w:t>
      </w:r>
    </w:p>
    <w:p>
      <w:pPr>
        <w:bidi/>
        <w:spacing w:after="40"/>
      </w:pPr>
      <w:r>
        <w:rPr>
          <w:b/>
        </w:rPr>
        <w:t xml:space="preserve">تغطية الاكتتاب: </w:t>
      </w:r>
      <w:r>
        <w:t>يشتري البنك الإصدار ويعيد بيعه بربح متحملًا المخاطرة.</w:t>
      </w:r>
    </w:p>
    <w:p>
      <w:pPr>
        <w:keepNext/>
        <w:spacing w:after="20"/>
      </w:pPr>
      <w:r>
        <w:rPr>
          <w:b/>
        </w:rPr>
        <w:t xml:space="preserve">D32  </w:t>
      </w:r>
      <w:r>
        <w:rPr>
          <w:b/>
          <w:color w:val="0F4C81"/>
        </w:rPr>
        <w:t>Cumulative dividends</w:t>
      </w:r>
    </w:p>
    <w:p>
      <w:pPr>
        <w:spacing w:after="20"/>
      </w:pPr>
      <w:r>
        <w:t>Unpaid preferred dividends accumulate in arrears.</w:t>
      </w:r>
    </w:p>
    <w:p>
      <w:pPr>
        <w:bidi/>
        <w:spacing w:after="40"/>
      </w:pPr>
      <w:r>
        <w:rPr>
          <w:b/>
        </w:rPr>
        <w:t xml:space="preserve">التوزيعات التراكمية: </w:t>
      </w:r>
      <w:r>
        <w:t>توزيعات الممتاز غير المدفوعة تتراكم كمتأخرات.</w:t>
      </w:r>
    </w:p>
    <w:p>
      <w:pPr>
        <w:keepNext/>
        <w:spacing w:after="20"/>
      </w:pPr>
      <w:r>
        <w:rPr>
          <w:b/>
        </w:rPr>
        <w:t xml:space="preserve">D33  </w:t>
      </w:r>
      <w:r>
        <w:rPr>
          <w:b/>
          <w:color w:val="0F4C81"/>
        </w:rPr>
        <w:t>Treasury stock</w:t>
      </w:r>
    </w:p>
    <w:p>
      <w:pPr>
        <w:spacing w:after="20"/>
      </w:pPr>
      <w:r>
        <w:t>Issued shares repurchased by the company.</w:t>
      </w:r>
    </w:p>
    <w:p>
      <w:pPr>
        <w:bidi/>
        <w:spacing w:after="40"/>
      </w:pPr>
      <w:r>
        <w:rPr>
          <w:b/>
        </w:rPr>
        <w:t xml:space="preserve">أسهم الخزانة: </w:t>
      </w:r>
      <w:r>
        <w:t>أسهم مصدرة أعادت الشركة شراءها.</w:t>
      </w:r>
    </w:p>
    <w:p>
      <w:pPr>
        <w:keepNext/>
        <w:spacing w:after="20"/>
      </w:pPr>
      <w:r>
        <w:rPr>
          <w:b/>
        </w:rPr>
        <w:t xml:space="preserve">D34  </w:t>
      </w:r>
      <w:r>
        <w:rPr>
          <w:b/>
          <w:color w:val="0F4C81"/>
        </w:rPr>
        <w:t>Expected return</w:t>
      </w:r>
      <w:r>
        <w:rPr>
          <w:b/>
          <w:sz w:val="18"/>
        </w:rPr>
        <w:t xml:space="preserve">  (E(R))</w:t>
      </w:r>
    </w:p>
    <w:p>
      <w:pPr>
        <w:spacing w:after="20"/>
      </w:pPr>
      <w:r>
        <w:t>Probability-weighted average of possible returns.</w:t>
      </w:r>
    </w:p>
    <w:p>
      <w:pPr>
        <w:bidi/>
        <w:spacing w:after="40"/>
      </w:pPr>
      <w:r>
        <w:rPr>
          <w:b/>
        </w:rPr>
        <w:t xml:space="preserve">العائد المتوقع: </w:t>
      </w:r>
      <w:r>
        <w:t>متوسط العوائد الممكنة مرجحًا بالاحتمالات.</w:t>
      </w:r>
    </w:p>
    <w:p>
      <w:pPr>
        <w:keepNext/>
        <w:spacing w:after="20"/>
      </w:pPr>
      <w:r>
        <w:rPr>
          <w:b/>
        </w:rPr>
        <w:t xml:space="preserve">D35  </w:t>
      </w:r>
      <w:r>
        <w:rPr>
          <w:b/>
          <w:color w:val="0F4C81"/>
        </w:rPr>
        <w:t>Variance</w:t>
      </w:r>
      <w:r>
        <w:rPr>
          <w:b/>
          <w:sz w:val="18"/>
        </w:rPr>
        <w:t xml:space="preserve">  (σ²)</w:t>
      </w:r>
    </w:p>
    <w:p>
      <w:pPr>
        <w:spacing w:after="20"/>
      </w:pPr>
      <w:r>
        <w:t>Σ Pi(Ri − E(R))²: measure of risk.</w:t>
      </w:r>
    </w:p>
    <w:p>
      <w:pPr>
        <w:bidi/>
        <w:spacing w:after="40"/>
      </w:pPr>
      <w:r>
        <w:rPr>
          <w:b/>
        </w:rPr>
        <w:t xml:space="preserve">التباين: </w:t>
      </w:r>
      <w:r>
        <w:t>Σ Pi(Ri − E(R))²: مقياس المخاطرة.</w:t>
      </w:r>
    </w:p>
    <w:p>
      <w:pPr>
        <w:keepNext/>
        <w:spacing w:after="20"/>
      </w:pPr>
      <w:r>
        <w:rPr>
          <w:b/>
        </w:rPr>
        <w:t xml:space="preserve">D36  </w:t>
      </w:r>
      <w:r>
        <w:rPr>
          <w:b/>
          <w:color w:val="0F4C81"/>
        </w:rPr>
        <w:t>Standard deviation</w:t>
      </w:r>
      <w:r>
        <w:rPr>
          <w:b/>
          <w:sz w:val="18"/>
        </w:rPr>
        <w:t xml:space="preserve">  (σ)</w:t>
      </w:r>
    </w:p>
    <w:p>
      <w:pPr>
        <w:spacing w:after="20"/>
      </w:pPr>
      <w:r>
        <w:t>√variance; total risk of an asset.</w:t>
      </w:r>
    </w:p>
    <w:p>
      <w:pPr>
        <w:bidi/>
        <w:spacing w:after="40"/>
      </w:pPr>
      <w:r>
        <w:rPr>
          <w:b/>
        </w:rPr>
        <w:t xml:space="preserve">الانحراف المعياري: </w:t>
      </w:r>
      <w:r>
        <w:t>√التباين؛ المخاطر الكلية للأصل.</w:t>
      </w:r>
    </w:p>
    <w:p>
      <w:pPr>
        <w:keepNext/>
        <w:spacing w:after="20"/>
      </w:pPr>
      <w:r>
        <w:rPr>
          <w:b/>
        </w:rPr>
        <w:t xml:space="preserve">D37  </w:t>
      </w:r>
      <w:r>
        <w:rPr>
          <w:b/>
          <w:color w:val="0F4C81"/>
        </w:rPr>
        <w:t>Systematic risk</w:t>
      </w:r>
    </w:p>
    <w:p>
      <w:pPr>
        <w:spacing w:after="20"/>
      </w:pPr>
      <w:r>
        <w:t>Market-wide, non-diversifiable; measured by beta.</w:t>
      </w:r>
    </w:p>
    <w:p>
      <w:pPr>
        <w:bidi/>
        <w:spacing w:after="40"/>
      </w:pPr>
      <w:r>
        <w:rPr>
          <w:b/>
        </w:rPr>
        <w:t xml:space="preserve">المخاطر النظامية: </w:t>
      </w:r>
      <w:r>
        <w:t>سوقية غير قابلة للتنويع؛ تُقاس ببيتا.</w:t>
      </w:r>
    </w:p>
    <w:p>
      <w:pPr>
        <w:keepNext/>
        <w:spacing w:after="20"/>
      </w:pPr>
      <w:r>
        <w:rPr>
          <w:b/>
        </w:rPr>
        <w:t xml:space="preserve">D38  </w:t>
      </w:r>
      <w:r>
        <w:rPr>
          <w:b/>
          <w:color w:val="0F4C81"/>
        </w:rPr>
        <w:t>Unsystematic risk</w:t>
      </w:r>
    </w:p>
    <w:p>
      <w:pPr>
        <w:spacing w:after="20"/>
      </w:pPr>
      <w:r>
        <w:t>Firm-specific; eliminated by diversification.</w:t>
      </w:r>
    </w:p>
    <w:p>
      <w:pPr>
        <w:bidi/>
        <w:spacing w:after="40"/>
      </w:pPr>
      <w:r>
        <w:rPr>
          <w:b/>
        </w:rPr>
        <w:t xml:space="preserve">المخاطر غير النظامية: </w:t>
      </w:r>
      <w:r>
        <w:t>خاصة بالمنشأة؛ تُزال بالتنويع.</w:t>
      </w:r>
    </w:p>
    <w:p>
      <w:pPr>
        <w:keepNext/>
        <w:spacing w:after="20"/>
      </w:pPr>
      <w:r>
        <w:rPr>
          <w:b/>
        </w:rPr>
        <w:t xml:space="preserve">D39  </w:t>
      </w:r>
      <w:r>
        <w:rPr>
          <w:b/>
          <w:color w:val="0F4C81"/>
        </w:rPr>
        <w:t>Portfolio</w:t>
      </w:r>
    </w:p>
    <w:p>
      <w:pPr>
        <w:spacing w:after="20"/>
      </w:pPr>
      <w:r>
        <w:t>A collection of assets held together.</w:t>
      </w:r>
    </w:p>
    <w:p>
      <w:pPr>
        <w:bidi/>
        <w:spacing w:after="40"/>
      </w:pPr>
      <w:r>
        <w:rPr>
          <w:b/>
        </w:rPr>
        <w:t xml:space="preserve">المحفظة: </w:t>
      </w:r>
      <w:r>
        <w:t>مجموعة أصول تُحمل معًا.</w:t>
      </w:r>
    </w:p>
    <w:p>
      <w:pPr>
        <w:keepNext/>
        <w:spacing w:after="20"/>
      </w:pPr>
      <w:r>
        <w:rPr>
          <w:b/>
        </w:rPr>
        <w:t xml:space="preserve">D40  </w:t>
      </w:r>
      <w:r>
        <w:rPr>
          <w:b/>
          <w:color w:val="0F4C81"/>
        </w:rPr>
        <w:t>Beta</w:t>
      </w:r>
      <w:r>
        <w:rPr>
          <w:b/>
          <w:sz w:val="18"/>
        </w:rPr>
        <w:t xml:space="preserve">  (β)</w:t>
      </w:r>
    </w:p>
    <w:p>
      <w:pPr>
        <w:spacing w:after="20"/>
      </w:pPr>
      <w:r>
        <w:t>Sensitivity of an asset's return to the market; systematic risk.</w:t>
      </w:r>
    </w:p>
    <w:p>
      <w:pPr>
        <w:bidi/>
        <w:spacing w:after="40"/>
      </w:pPr>
      <w:r>
        <w:rPr>
          <w:b/>
        </w:rPr>
        <w:t xml:space="preserve">بيتا: </w:t>
      </w:r>
      <w:r>
        <w:t>حساسية عائد الأصل للسوق؛ المخاطر النظامية.</w:t>
      </w:r>
    </w:p>
    <w:p>
      <w:pPr>
        <w:keepNext/>
        <w:spacing w:after="20"/>
      </w:pPr>
      <w:r>
        <w:rPr>
          <w:b/>
        </w:rPr>
        <w:t xml:space="preserve">D41  </w:t>
      </w:r>
      <w:r>
        <w:rPr>
          <w:b/>
          <w:color w:val="0F4C81"/>
        </w:rPr>
        <w:t>Capital Asset Pricing Model</w:t>
      </w:r>
      <w:r>
        <w:rPr>
          <w:b/>
          <w:sz w:val="18"/>
        </w:rPr>
        <w:t xml:space="preserve">  (CAPM)</w:t>
      </w:r>
    </w:p>
    <w:p>
      <w:pPr>
        <w:spacing w:after="20"/>
      </w:pPr>
      <w:r>
        <w:t>Re = Rf + β(Rm − Rf).</w:t>
      </w:r>
    </w:p>
    <w:p>
      <w:pPr>
        <w:bidi/>
        <w:spacing w:after="40"/>
      </w:pPr>
      <w:r>
        <w:rPr>
          <w:b/>
        </w:rPr>
        <w:t xml:space="preserve">نموذج تسعير الأصول الرأسمالية: </w:t>
      </w:r>
      <w:r>
        <w:t>Re = Rf + β(Rm − Rf).</w:t>
      </w:r>
    </w:p>
    <w:p>
      <w:pPr>
        <w:keepNext/>
        <w:spacing w:after="20"/>
      </w:pPr>
      <w:r>
        <w:rPr>
          <w:b/>
        </w:rPr>
        <w:t xml:space="preserve">D42  </w:t>
      </w:r>
      <w:r>
        <w:rPr>
          <w:b/>
          <w:color w:val="0F4C81"/>
        </w:rPr>
        <w:t>Risk-free rate</w:t>
      </w:r>
      <w:r>
        <w:rPr>
          <w:b/>
          <w:sz w:val="18"/>
        </w:rPr>
        <w:t xml:space="preserve">  (Rf)</w:t>
      </w:r>
    </w:p>
    <w:p>
      <w:pPr>
        <w:spacing w:after="20"/>
      </w:pPr>
      <w:r>
        <w:t>Return with zero loss risk (T-bills).</w:t>
      </w:r>
    </w:p>
    <w:p>
      <w:pPr>
        <w:bidi/>
        <w:spacing w:after="40"/>
      </w:pPr>
      <w:r>
        <w:rPr>
          <w:b/>
        </w:rPr>
        <w:t xml:space="preserve">المعدل الخالي من المخاطر: </w:t>
      </w:r>
      <w:r>
        <w:t>عائد بلا مخاطر خسارة (أذون الخزانة).</w:t>
      </w:r>
    </w:p>
    <w:p>
      <w:pPr>
        <w:keepNext/>
        <w:spacing w:after="20"/>
      </w:pPr>
      <w:r>
        <w:rPr>
          <w:b/>
        </w:rPr>
        <w:t xml:space="preserve">D43  </w:t>
      </w:r>
      <w:r>
        <w:rPr>
          <w:b/>
          <w:color w:val="0F4C81"/>
        </w:rPr>
        <w:t>Annuity</w:t>
      </w:r>
    </w:p>
    <w:p>
      <w:pPr>
        <w:spacing w:after="20"/>
      </w:pPr>
      <w:r>
        <w:t>Equal end-of-year payments for n years.</w:t>
      </w:r>
    </w:p>
    <w:p>
      <w:pPr>
        <w:bidi/>
        <w:spacing w:after="40"/>
      </w:pPr>
      <w:r>
        <w:rPr>
          <w:b/>
        </w:rPr>
        <w:t xml:space="preserve">الدفعة السنوية: </w:t>
      </w:r>
      <w:r>
        <w:t>دفعات متساوية نهاية كل سنة لعدد n.</w:t>
      </w:r>
    </w:p>
    <w:p>
      <w:pPr>
        <w:keepNext/>
        <w:spacing w:after="20"/>
      </w:pPr>
      <w:r>
        <w:rPr>
          <w:b/>
        </w:rPr>
        <w:t xml:space="preserve">D44  </w:t>
      </w:r>
      <w:r>
        <w:rPr>
          <w:b/>
          <w:color w:val="0F4C81"/>
        </w:rPr>
        <w:t>Bond</w:t>
      </w:r>
    </w:p>
    <w:p>
      <w:pPr>
        <w:spacing w:after="20"/>
      </w:pPr>
      <w:r>
        <w:t>Public debt with promised payments and a maturity date.</w:t>
      </w:r>
    </w:p>
    <w:p>
      <w:pPr>
        <w:bidi/>
        <w:spacing w:after="40"/>
      </w:pPr>
      <w:r>
        <w:rPr>
          <w:b/>
        </w:rPr>
        <w:t xml:space="preserve">السند: </w:t>
      </w:r>
      <w:r>
        <w:t>دين عام بمدفوعات موعودة وتاريخ استحقاق.</w:t>
      </w:r>
    </w:p>
    <w:p>
      <w:pPr>
        <w:keepNext/>
        <w:spacing w:after="20"/>
      </w:pPr>
      <w:r>
        <w:rPr>
          <w:b/>
        </w:rPr>
        <w:t xml:space="preserve">D45  </w:t>
      </w:r>
      <w:r>
        <w:rPr>
          <w:b/>
          <w:color w:val="0F4C81"/>
        </w:rPr>
        <w:t>Bond indenture</w:t>
      </w:r>
    </w:p>
    <w:p>
      <w:pPr>
        <w:spacing w:after="20"/>
      </w:pPr>
      <w:r>
        <w:t>Legal agreement with the trustee representing holders.</w:t>
      </w:r>
    </w:p>
    <w:p>
      <w:pPr>
        <w:bidi/>
        <w:spacing w:after="40"/>
      </w:pPr>
      <w:r>
        <w:rPr>
          <w:b/>
        </w:rPr>
        <w:t xml:space="preserve">عقد السند: </w:t>
      </w:r>
      <w:r>
        <w:t>اتفاق قانوني مع الأمين ممثلًا للحاملين.</w:t>
      </w:r>
    </w:p>
    <w:p>
      <w:pPr>
        <w:keepNext/>
        <w:spacing w:after="20"/>
      </w:pPr>
      <w:r>
        <w:rPr>
          <w:b/>
        </w:rPr>
        <w:t xml:space="preserve">D46  </w:t>
      </w:r>
      <w:r>
        <w:rPr>
          <w:b/>
          <w:color w:val="0F4C81"/>
        </w:rPr>
        <w:t>Coupon interest rate</w:t>
      </w:r>
    </w:p>
    <w:p>
      <w:pPr>
        <w:spacing w:after="20"/>
      </w:pPr>
      <w:r>
        <w:t>% of par paid annually.</w:t>
      </w:r>
    </w:p>
    <w:p>
      <w:pPr>
        <w:bidi/>
        <w:spacing w:after="40"/>
      </w:pPr>
      <w:r>
        <w:rPr>
          <w:b/>
        </w:rPr>
        <w:t xml:space="preserve">معدل كوبون الفائدة: </w:t>
      </w:r>
      <w:r>
        <w:t>% من الاسمي تُدفع سنويًا.</w:t>
      </w:r>
    </w:p>
    <w:p>
      <w:pPr>
        <w:keepNext/>
        <w:spacing w:after="20"/>
      </w:pPr>
      <w:r>
        <w:rPr>
          <w:b/>
        </w:rPr>
        <w:t xml:space="preserve">D47  </w:t>
      </w:r>
      <w:r>
        <w:rPr>
          <w:b/>
          <w:color w:val="0F4C81"/>
        </w:rPr>
        <w:t>Current yield</w:t>
      </w:r>
    </w:p>
    <w:p>
      <w:pPr>
        <w:spacing w:after="20"/>
      </w:pPr>
      <w:r>
        <w:t>Annual interest ÷ market price.</w:t>
      </w:r>
    </w:p>
    <w:p>
      <w:pPr>
        <w:bidi/>
        <w:spacing w:after="40"/>
      </w:pPr>
      <w:r>
        <w:rPr>
          <w:b/>
        </w:rPr>
        <w:t xml:space="preserve">العائد الجاري: </w:t>
      </w:r>
      <w:r>
        <w:t>الفوائد السنوية ÷ سعر السوق.</w:t>
      </w:r>
    </w:p>
    <w:p>
      <w:pPr>
        <w:keepNext/>
        <w:spacing w:after="20"/>
      </w:pPr>
      <w:r>
        <w:rPr>
          <w:b/>
        </w:rPr>
        <w:t xml:space="preserve">D48  </w:t>
      </w:r>
      <w:r>
        <w:rPr>
          <w:b/>
          <w:color w:val="0F4C81"/>
        </w:rPr>
        <w:t>Accrued interest</w:t>
      </w:r>
    </w:p>
    <w:p>
      <w:pPr>
        <w:spacing w:after="20"/>
      </w:pPr>
      <w:r>
        <w:t>Months/12 × annual coupon, owed to the seller.</w:t>
      </w:r>
    </w:p>
    <w:p>
      <w:pPr>
        <w:bidi/>
        <w:spacing w:after="40"/>
      </w:pPr>
      <w:r>
        <w:rPr>
          <w:b/>
        </w:rPr>
        <w:t xml:space="preserve">الفائدة المستحقة: </w:t>
      </w:r>
      <w:r>
        <w:t>الشهور÷12 × الكوبون السنوي، مستحقة للبائع.</w:t>
      </w:r>
    </w:p>
    <w:p>
      <w:pPr>
        <w:keepNext/>
        <w:spacing w:after="20"/>
      </w:pPr>
      <w:r>
        <w:rPr>
          <w:b/>
        </w:rPr>
        <w:t xml:space="preserve">D49  </w:t>
      </w:r>
      <w:r>
        <w:rPr>
          <w:b/>
          <w:color w:val="0F4C81"/>
        </w:rPr>
        <w:t>Call provision</w:t>
      </w:r>
    </w:p>
    <w:p>
      <w:pPr>
        <w:spacing w:after="20"/>
      </w:pPr>
      <w:r>
        <w:t>Issuer's right to redeem before maturity.</w:t>
      </w:r>
    </w:p>
    <w:p>
      <w:pPr>
        <w:bidi/>
        <w:spacing w:after="40"/>
      </w:pPr>
      <w:r>
        <w:rPr>
          <w:b/>
        </w:rPr>
        <w:t xml:space="preserve">شرط الاستدعاء: </w:t>
      </w:r>
      <w:r>
        <w:t>حق المصدر في السداد قبل الاستحقاق.</w:t>
      </w:r>
    </w:p>
    <w:p>
      <w:pPr>
        <w:keepNext/>
        <w:spacing w:after="20"/>
      </w:pPr>
      <w:r>
        <w:rPr>
          <w:b/>
        </w:rPr>
        <w:t xml:space="preserve">D50  </w:t>
      </w:r>
      <w:r>
        <w:rPr>
          <w:b/>
          <w:color w:val="0F4C81"/>
        </w:rPr>
        <w:t>Conversion feature</w:t>
      </w:r>
    </w:p>
    <w:p>
      <w:pPr>
        <w:spacing w:after="20"/>
      </w:pPr>
      <w:r>
        <w:t>Converting bond value into shares.</w:t>
      </w:r>
    </w:p>
    <w:p>
      <w:pPr>
        <w:bidi/>
        <w:spacing w:after="40"/>
      </w:pPr>
      <w:r>
        <w:rPr>
          <w:b/>
        </w:rPr>
        <w:t xml:space="preserve">خاصية التحويل: </w:t>
      </w:r>
      <w:r>
        <w:t>تحويل قيمة السند إلى أسهم.</w:t>
      </w:r>
    </w:p>
    <w:p>
      <w:pPr>
        <w:keepNext/>
        <w:spacing w:after="20"/>
      </w:pPr>
      <w:r>
        <w:rPr>
          <w:b/>
        </w:rPr>
        <w:t xml:space="preserve">D51  </w:t>
      </w:r>
      <w:r>
        <w:rPr>
          <w:b/>
          <w:color w:val="0F4C81"/>
        </w:rPr>
        <w:t>Floating rate</w:t>
      </w:r>
      <w:r>
        <w:rPr>
          <w:b/>
          <w:sz w:val="18"/>
        </w:rPr>
        <w:t xml:space="preserve">  (LIBOR+)</w:t>
      </w:r>
    </w:p>
    <w:p>
      <w:pPr>
        <w:spacing w:after="20"/>
      </w:pPr>
      <w:r>
        <w:t>Index of prior period + spread, with cap and floor.</w:t>
      </w:r>
    </w:p>
    <w:p>
      <w:pPr>
        <w:bidi/>
        <w:spacing w:after="40"/>
      </w:pPr>
      <w:r>
        <w:rPr>
          <w:b/>
        </w:rPr>
        <w:t xml:space="preserve">السعر العائم: </w:t>
      </w:r>
      <w:r>
        <w:t>مؤشر الفترة السابقة + هامش، مع سقف وأرضية.</w:t>
      </w:r>
    </w:p>
    <w:p>
      <w:pPr>
        <w:keepNext/>
        <w:spacing w:after="20"/>
      </w:pPr>
      <w:r>
        <w:rPr>
          <w:b/>
        </w:rPr>
        <w:t xml:space="preserve">D52  </w:t>
      </w:r>
      <w:r>
        <w:rPr>
          <w:b/>
          <w:color w:val="0F4C81"/>
        </w:rPr>
        <w:t>Payback period</w:t>
      </w:r>
      <w:r>
        <w:rPr>
          <w:b/>
          <w:sz w:val="18"/>
        </w:rPr>
        <w:t xml:space="preserve">  (PBP)</w:t>
      </w:r>
    </w:p>
    <w:p>
      <w:pPr>
        <w:spacing w:after="20"/>
      </w:pPr>
      <w:r>
        <w:t>Years to recover the original investment.</w:t>
      </w:r>
    </w:p>
    <w:p>
      <w:pPr>
        <w:bidi/>
        <w:spacing w:after="40"/>
      </w:pPr>
      <w:r>
        <w:rPr>
          <w:b/>
        </w:rPr>
        <w:t xml:space="preserve">فترة الاسترداد: </w:t>
      </w:r>
      <w:r>
        <w:t>سنون استرداد الاستثمار الأصلي.</w:t>
      </w:r>
    </w:p>
    <w:p>
      <w:pPr>
        <w:keepNext/>
        <w:spacing w:after="20"/>
      </w:pPr>
      <w:r>
        <w:rPr>
          <w:b/>
        </w:rPr>
        <w:t xml:space="preserve">D53  </w:t>
      </w:r>
      <w:r>
        <w:rPr>
          <w:b/>
          <w:color w:val="0F4C81"/>
        </w:rPr>
        <w:t>Average rate of return</w:t>
      </w:r>
      <w:r>
        <w:rPr>
          <w:b/>
          <w:sz w:val="18"/>
        </w:rPr>
        <w:t xml:space="preserve">  (ARR)</w:t>
      </w:r>
    </w:p>
    <w:p>
      <w:pPr>
        <w:spacing w:after="20"/>
      </w:pPr>
      <w:r>
        <w:t>Average profit after tax ÷ average/initial investment.</w:t>
      </w:r>
    </w:p>
    <w:p>
      <w:pPr>
        <w:bidi/>
        <w:spacing w:after="40"/>
      </w:pPr>
      <w:r>
        <w:rPr>
          <w:b/>
        </w:rPr>
        <w:t xml:space="preserve">معدل العائد المتوسط: </w:t>
      </w:r>
      <w:r>
        <w:t>متوسط الربح بعد الضريبة ÷ متوسط/أولي الاستثمار.</w:t>
      </w:r>
    </w:p>
    <w:p>
      <w:pPr>
        <w:keepNext/>
        <w:spacing w:after="20"/>
      </w:pPr>
      <w:r>
        <w:rPr>
          <w:b/>
        </w:rPr>
        <w:t xml:space="preserve">D54  </w:t>
      </w:r>
      <w:r>
        <w:rPr>
          <w:b/>
          <w:color w:val="0F4C81"/>
        </w:rPr>
        <w:t>Multinational corporation</w:t>
      </w:r>
      <w:r>
        <w:rPr>
          <w:b/>
          <w:sz w:val="18"/>
        </w:rPr>
        <w:t xml:space="preserve">  (MNC)</w:t>
      </w:r>
    </w:p>
    <w:p>
      <w:pPr>
        <w:spacing w:after="20"/>
      </w:pPr>
      <w:r>
        <w:t>Produces &amp; sells in more than one country; parent + subsidiaries.</w:t>
      </w:r>
    </w:p>
    <w:p>
      <w:pPr>
        <w:bidi/>
        <w:spacing w:after="40"/>
      </w:pPr>
      <w:r>
        <w:rPr>
          <w:b/>
        </w:rPr>
        <w:t xml:space="preserve">شركة متعددة الجنسيات: </w:t>
      </w:r>
      <w:r>
        <w:t>تنتج وتبيع في أكثر من دولة؛ أم وتابعات.</w:t>
      </w:r>
    </w:p>
    <w:p>
      <w:pPr>
        <w:keepNext/>
        <w:spacing w:after="20"/>
      </w:pPr>
      <w:r>
        <w:rPr>
          <w:b/>
        </w:rPr>
        <w:t xml:space="preserve">D55  </w:t>
      </w:r>
      <w:r>
        <w:rPr>
          <w:b/>
          <w:color w:val="0F4C81"/>
        </w:rPr>
        <w:t>Foreign direct investment</w:t>
      </w:r>
      <w:r>
        <w:rPr>
          <w:b/>
          <w:sz w:val="18"/>
        </w:rPr>
        <w:t xml:space="preserve">  (FDI)</w:t>
      </w:r>
    </w:p>
    <w:p>
      <w:pPr>
        <w:spacing w:after="20"/>
      </w:pPr>
      <w:r>
        <w:t>Buying an entire company or ≥10% of its stocks.</w:t>
      </w:r>
    </w:p>
    <w:p>
      <w:pPr>
        <w:bidi/>
        <w:spacing w:after="40"/>
      </w:pPr>
      <w:r>
        <w:rPr>
          <w:b/>
        </w:rPr>
        <w:t xml:space="preserve">الاستثمار الأجنبي المباشر: </w:t>
      </w:r>
      <w:r>
        <w:t>شراء شركة كاملة أو ≥10% من أسهمها.</w:t>
      </w:r>
    </w:p>
    <w:p>
      <w:pPr>
        <w:keepNext/>
        <w:spacing w:after="20"/>
      </w:pPr>
      <w:r>
        <w:rPr>
          <w:b/>
        </w:rPr>
        <w:t xml:space="preserve">D56  </w:t>
      </w:r>
      <w:r>
        <w:rPr>
          <w:b/>
          <w:color w:val="0F4C81"/>
        </w:rPr>
        <w:t>Exchange rate</w:t>
      </w:r>
    </w:p>
    <w:p>
      <w:pPr>
        <w:spacing w:after="20"/>
      </w:pPr>
      <w:r>
        <w:t>Price of one currency in terms of another.</w:t>
      </w:r>
    </w:p>
    <w:p>
      <w:pPr>
        <w:bidi/>
        <w:spacing w:after="40"/>
      </w:pPr>
      <w:r>
        <w:rPr>
          <w:b/>
        </w:rPr>
        <w:t xml:space="preserve">سعر الصرف: </w:t>
      </w:r>
      <w:r>
        <w:t>سعر عملة بدلالة أخرى.</w:t>
      </w:r>
    </w:p>
    <w:p>
      <w:pPr>
        <w:keepNext/>
        <w:spacing w:after="20"/>
      </w:pPr>
      <w:r>
        <w:rPr>
          <w:b/>
        </w:rPr>
        <w:t xml:space="preserve">D57  </w:t>
      </w:r>
      <w:r>
        <w:rPr>
          <w:b/>
          <w:color w:val="0F4C81"/>
        </w:rPr>
        <w:t>Direct quotation</w:t>
      </w:r>
    </w:p>
    <w:p>
      <w:pPr>
        <w:spacing w:after="20"/>
      </w:pPr>
      <w:r>
        <w:t>Home-currency price of one unit of foreign currency.</w:t>
      </w:r>
    </w:p>
    <w:p>
      <w:pPr>
        <w:bidi/>
        <w:spacing w:after="40"/>
      </w:pPr>
      <w:r>
        <w:rPr>
          <w:b/>
        </w:rPr>
        <w:t xml:space="preserve">الاقتباس المباشر: </w:t>
      </w:r>
      <w:r>
        <w:t>سعر العملة المحلية لوحدة من الأجنبية.</w:t>
      </w:r>
    </w:p>
    <w:p>
      <w:pPr>
        <w:keepNext/>
        <w:spacing w:after="20"/>
      </w:pPr>
      <w:r>
        <w:rPr>
          <w:b/>
        </w:rPr>
        <w:t xml:space="preserve">D58  </w:t>
      </w:r>
      <w:r>
        <w:rPr>
          <w:b/>
          <w:color w:val="0F4C81"/>
        </w:rPr>
        <w:t>Hard peg / soft peg</w:t>
      </w:r>
    </w:p>
    <w:p>
      <w:pPr>
        <w:spacing w:after="20"/>
      </w:pPr>
      <w:r>
        <w:t>Adopted currency or currency board / fixed exchange rates.</w:t>
      </w:r>
    </w:p>
    <w:p>
      <w:pPr>
        <w:bidi/>
        <w:spacing w:after="40"/>
      </w:pPr>
      <w:r>
        <w:rPr>
          <w:b/>
        </w:rPr>
        <w:t xml:space="preserve">ربط صارم / ربط مرن: </w:t>
      </w:r>
      <w:r>
        <w:t>عملة متبنأة أو مجلس نقد / أسعار صرف ثابتة.</w:t>
      </w:r>
    </w:p>
    <w:p>
      <w:pPr>
        <w:keepNext/>
        <w:spacing w:after="20"/>
      </w:pPr>
      <w:r>
        <w:rPr>
          <w:b/>
        </w:rPr>
        <w:t xml:space="preserve">D59  </w:t>
      </w:r>
      <w:r>
        <w:rPr>
          <w:b/>
          <w:color w:val="0F4C81"/>
        </w:rPr>
        <w:t>Managed floating</w:t>
      </w:r>
    </w:p>
    <w:p>
      <w:pPr>
        <w:spacing w:after="20"/>
      </w:pPr>
      <w:r>
        <w:t>Heavy intervention with secret target rates.</w:t>
      </w:r>
    </w:p>
    <w:p>
      <w:pPr>
        <w:bidi/>
        <w:spacing w:after="40"/>
      </w:pPr>
      <w:r>
        <w:rPr>
          <w:b/>
        </w:rPr>
        <w:t xml:space="preserve">التعويم المُدار: </w:t>
      </w:r>
      <w:r>
        <w:t>تدخل كثيف بأسعار هدف سرية.</w:t>
      </w:r>
    </w:p>
    <w:p>
      <w:pPr>
        <w:keepNext/>
        <w:spacing w:after="20"/>
      </w:pPr>
      <w:r>
        <w:rPr>
          <w:b/>
        </w:rPr>
        <w:t xml:space="preserve">D60  </w:t>
      </w:r>
      <w:r>
        <w:rPr>
          <w:b/>
          <w:color w:val="0F4C81"/>
        </w:rPr>
        <w:t>Net Fixed Asset Investment</w:t>
      </w:r>
      <w:r>
        <w:rPr>
          <w:b/>
          <w:sz w:val="18"/>
        </w:rPr>
        <w:t xml:space="preserve">  (NFAI)</w:t>
      </w:r>
    </w:p>
    <w:p>
      <w:pPr>
        <w:spacing w:after="20"/>
      </w:pPr>
      <w:r>
        <w:t>Change in net fixed assets plus depreciation — the cash absorbed by the fixed-asset base.</w:t>
      </w:r>
    </w:p>
    <w:p>
      <w:pPr>
        <w:bidi/>
        <w:spacing w:after="40"/>
      </w:pPr>
      <w:r>
        <w:rPr>
          <w:b/>
        </w:rPr>
        <w:t xml:space="preserve">صافي الاستثمار في الأصول الثابتة: </w:t>
      </w:r>
      <w:r>
        <w:t>التغير في صافي الأصول الثابتة زائد الإهلاك — النقد الذي تمتصه قاعدة الأصول الثابتة.</w:t>
      </w:r>
    </w:p>
    <w:p>
      <w:pPr>
        <w:keepNext/>
        <w:spacing w:after="20"/>
      </w:pPr>
      <w:r>
        <w:rPr>
          <w:b/>
        </w:rPr>
        <w:t xml:space="preserve">D61  </w:t>
      </w:r>
      <w:r>
        <w:rPr>
          <w:b/>
          <w:color w:val="0F4C81"/>
        </w:rPr>
        <w:t>Net Current Asset Investment</w:t>
      </w:r>
      <w:r>
        <w:rPr>
          <w:b/>
          <w:sz w:val="18"/>
        </w:rPr>
        <w:t xml:space="preserve">  (NCAI)</w:t>
      </w:r>
    </w:p>
    <w:p>
      <w:pPr>
        <w:spacing w:after="20"/>
      </w:pPr>
      <w:r>
        <w:t>Change in current assets less the change in payables and accruals.</w:t>
      </w:r>
    </w:p>
    <w:p>
      <w:pPr>
        <w:bidi/>
        <w:spacing w:after="40"/>
      </w:pPr>
      <w:r>
        <w:rPr>
          <w:b/>
        </w:rPr>
        <w:t xml:space="preserve">صافي الاستثمار في الأصول المتداولة: </w:t>
      </w:r>
      <w:r>
        <w:t>التغير في الأصول المتداولة ناقص التغير في الموردين والمصروفات المستحقة.</w:t>
      </w:r>
    </w:p>
    <w:p>
      <w:pPr>
        <w:keepNext/>
        <w:spacing w:after="20"/>
      </w:pPr>
      <w:r>
        <w:rPr>
          <w:b/>
        </w:rPr>
        <w:t xml:space="preserve">D62  </w:t>
      </w:r>
      <w:r>
        <w:rPr>
          <w:b/>
          <w:color w:val="0F4C81"/>
        </w:rPr>
        <w:t>Cash-flow margin</w:t>
      </w:r>
      <w:r>
        <w:rPr>
          <w:b/>
          <w:sz w:val="18"/>
        </w:rPr>
        <w:t xml:space="preserve">  (Cash-flow margin)</w:t>
      </w:r>
    </w:p>
    <w:p>
      <w:pPr>
        <w:spacing w:after="20"/>
      </w:pPr>
      <w:r>
        <w:t>OCF ÷ sales revenue — the cash generated from each revenue dollar.</w:t>
      </w:r>
    </w:p>
    <w:p>
      <w:pPr>
        <w:bidi/>
        <w:spacing w:after="40"/>
      </w:pPr>
      <w:r>
        <w:rPr>
          <w:b/>
        </w:rPr>
        <w:t xml:space="preserve">هامش التدفق النقدي: </w:t>
      </w:r>
      <w:r>
        <w:t>OCF ÷ إيرادات المبيعات — النقد المولّد من كل دولار إيرادات.</w:t>
      </w:r>
    </w:p>
    <w:p>
      <w:pPr>
        <w:keepNext/>
        <w:spacing w:after="20"/>
      </w:pPr>
      <w:r>
        <w:rPr>
          <w:b/>
        </w:rPr>
        <w:t xml:space="preserve">D63  </w:t>
      </w:r>
      <w:r>
        <w:rPr>
          <w:b/>
          <w:color w:val="0F4C81"/>
        </w:rPr>
        <w:t>Cash-flow coverage</w:t>
      </w:r>
      <w:r>
        <w:rPr>
          <w:b/>
          <w:sz w:val="18"/>
        </w:rPr>
        <w:t xml:space="preserve">  (Cash-flow coverage)</w:t>
      </w:r>
    </w:p>
    <w:p>
      <w:pPr>
        <w:spacing w:after="20"/>
      </w:pPr>
      <w:r>
        <w:t>OCF ÷ total debt — the ability to repay debt from operating cash.</w:t>
      </w:r>
    </w:p>
    <w:p>
      <w:pPr>
        <w:bidi/>
        <w:spacing w:after="40"/>
      </w:pPr>
      <w:r>
        <w:rPr>
          <w:b/>
        </w:rPr>
        <w:t xml:space="preserve">تغطية التدفق النقدي: </w:t>
      </w:r>
      <w:r>
        <w:t>OCF ÷ إجمالي الدين — القدرة على سداد الدين من نقد التشغيل.</w:t>
      </w:r>
    </w:p>
    <w:p>
      <w:pPr>
        <w:keepNext/>
        <w:spacing w:after="20"/>
      </w:pPr>
      <w:r>
        <w:rPr>
          <w:b/>
        </w:rPr>
        <w:t xml:space="preserve">D64  </w:t>
      </w:r>
      <w:r>
        <w:rPr>
          <w:b/>
          <w:color w:val="0F4C81"/>
        </w:rPr>
        <w:t>Dividend yield</w:t>
      </w:r>
      <w:r>
        <w:rPr>
          <w:b/>
          <w:sz w:val="18"/>
        </w:rPr>
        <w:t xml:space="preserve">  (Dividend yield)</w:t>
      </w:r>
    </w:p>
    <w:p>
      <w:pPr>
        <w:spacing w:after="20"/>
      </w:pPr>
      <w:r>
        <w:t>D ÷ P — the dividend component of a stock's expected return.</w:t>
      </w:r>
    </w:p>
    <w:p>
      <w:pPr>
        <w:bidi/>
        <w:spacing w:after="40"/>
      </w:pPr>
      <w:r>
        <w:rPr>
          <w:b/>
        </w:rPr>
        <w:t xml:space="preserve">عائد التوزيع: </w:t>
      </w:r>
      <w:r>
        <w:t>D ÷ P — مكوّن التوزيعات في العائد المتوقع للسهم.</w:t>
      </w:r>
    </w:p>
    <w:p>
      <w:pPr>
        <w:keepNext/>
        <w:spacing w:after="20"/>
      </w:pPr>
      <w:r>
        <w:rPr>
          <w:b/>
        </w:rPr>
        <w:t xml:space="preserve">D65  </w:t>
      </w:r>
      <w:r>
        <w:rPr>
          <w:b/>
          <w:color w:val="0F4C81"/>
        </w:rPr>
        <w:t>Capital gain</w:t>
      </w:r>
      <w:r>
        <w:rPr>
          <w:b/>
          <w:sz w:val="18"/>
        </w:rPr>
        <w:t xml:space="preserve">  (Capital gain)</w:t>
      </w:r>
    </w:p>
    <w:p>
      <w:pPr>
        <w:spacing w:after="20"/>
      </w:pPr>
      <w:r>
        <w:t>The appreciation of the stock's market price due to earnings growth.</w:t>
      </w:r>
    </w:p>
    <w:p>
      <w:pPr>
        <w:bidi/>
        <w:spacing w:after="40"/>
      </w:pPr>
      <w:r>
        <w:rPr>
          <w:b/>
        </w:rPr>
        <w:t xml:space="preserve">الربح الرأسمالي: </w:t>
      </w:r>
      <w:r>
        <w:t>ارتفاع سعر السوق للسهم بفعل نمو الأرباح.</w:t>
      </w:r>
    </w:p>
    <w:p>
      <w:pPr>
        <w:keepNext/>
        <w:spacing w:after="20"/>
      </w:pPr>
      <w:r>
        <w:rPr>
          <w:b/>
        </w:rPr>
        <w:t xml:space="preserve">D66  </w:t>
      </w:r>
      <w:r>
        <w:rPr>
          <w:b/>
          <w:color w:val="0F4C81"/>
        </w:rPr>
        <w:t>Required return</w:t>
      </w:r>
      <w:r>
        <w:rPr>
          <w:b/>
          <w:sz w:val="18"/>
        </w:rPr>
        <w:t xml:space="preserve">  (Required return (rs))</w:t>
      </w:r>
    </w:p>
    <w:p>
      <w:pPr>
        <w:spacing w:after="20"/>
      </w:pPr>
      <w:r>
        <w:t>The return investors demand to hold an asset; the discount rate of valuation models.</w:t>
      </w:r>
    </w:p>
    <w:p>
      <w:pPr>
        <w:bidi/>
        <w:spacing w:after="40"/>
      </w:pPr>
      <w:r>
        <w:rPr>
          <w:b/>
        </w:rPr>
        <w:t xml:space="preserve">العائد المطلوب: </w:t>
      </w:r>
      <w:r>
        <w:t>العائد الذي يطلبه المستثمرون لحمل الأصل؛ وهو معدل الخصم في نماذج التقييم.</w:t>
      </w:r>
    </w:p>
    <w:p>
      <w:pPr>
        <w:keepNext/>
        <w:spacing w:after="20"/>
      </w:pPr>
      <w:r>
        <w:rPr>
          <w:b/>
        </w:rPr>
        <w:t xml:space="preserve">D67  </w:t>
      </w:r>
      <w:r>
        <w:rPr>
          <w:b/>
          <w:color w:val="0F4C81"/>
        </w:rPr>
        <w:t>Correlation coefficient</w:t>
      </w:r>
      <w:r>
        <w:rPr>
          <w:b/>
          <w:sz w:val="18"/>
        </w:rPr>
        <w:t xml:space="preserve">  (Correlation coefficient (ρ))</w:t>
      </w:r>
    </w:p>
    <w:p>
      <w:pPr>
        <w:spacing w:after="20"/>
      </w:pPr>
      <w:r>
        <w:t>How two assets move together, from +1 (perfect unison) to −1 (perfect opposite).</w:t>
      </w:r>
    </w:p>
    <w:p>
      <w:pPr>
        <w:bidi/>
        <w:spacing w:after="40"/>
      </w:pPr>
      <w:r>
        <w:rPr>
          <w:b/>
        </w:rPr>
        <w:t xml:space="preserve">معامل الارتباط: </w:t>
      </w:r>
      <w:r>
        <w:t>كيف يتحرك أصلان معًا، من +1 (تناغم تام) إلى −1 (تعاكس تام).</w:t>
      </w:r>
    </w:p>
    <w:p>
      <w:pPr>
        <w:keepNext/>
        <w:spacing w:after="20"/>
      </w:pPr>
      <w:r>
        <w:rPr>
          <w:b/>
        </w:rPr>
        <w:t xml:space="preserve">D68  </w:t>
      </w:r>
      <w:r>
        <w:rPr>
          <w:b/>
          <w:color w:val="0F4C81"/>
        </w:rPr>
        <w:t>Residual claim</w:t>
      </w:r>
      <w:r>
        <w:rPr>
          <w:b/>
          <w:sz w:val="18"/>
        </w:rPr>
        <w:t xml:space="preserve">  (Residual claim)</w:t>
      </w:r>
    </w:p>
    <w:p>
      <w:pPr>
        <w:spacing w:after="20"/>
      </w:pPr>
      <w:r>
        <w:t>Common shareholders are paid only after every other claim is satisfied.</w:t>
      </w:r>
    </w:p>
    <w:p>
      <w:pPr>
        <w:bidi/>
        <w:spacing w:after="40"/>
      </w:pPr>
      <w:r>
        <w:rPr>
          <w:b/>
        </w:rPr>
        <w:t xml:space="preserve">المطالبة المتبقية: </w:t>
      </w:r>
      <w:r>
        <w:t>لا يُدفع للمساهمين العاديين إلا بعد استيفاء كل المطالب الأخرى.</w:t>
      </w:r>
    </w:p>
    <w:p>
      <w:pPr>
        <w:keepNext/>
        <w:spacing w:after="20"/>
      </w:pPr>
      <w:r>
        <w:rPr>
          <w:b/>
        </w:rPr>
        <w:t xml:space="preserve">D69  </w:t>
      </w:r>
      <w:r>
        <w:rPr>
          <w:b/>
          <w:color w:val="0F4C81"/>
        </w:rPr>
        <w:t>Levered vs unlevered OCF</w:t>
      </w:r>
      <w:r>
        <w:rPr>
          <w:b/>
          <w:sz w:val="18"/>
        </w:rPr>
        <w:t xml:space="preserve">  (Levered / unlevered OCF)</w:t>
      </w:r>
    </w:p>
    <w:p>
      <w:pPr>
        <w:spacing w:after="20"/>
      </w:pPr>
      <w:r>
        <w:t>After interest and debt servicing (net income + Dep) vs before it (EBIT(1−T) + Dep).</w:t>
      </w:r>
    </w:p>
    <w:p>
      <w:pPr>
        <w:bidi/>
        <w:spacing w:after="40"/>
      </w:pPr>
      <w:r>
        <w:rPr>
          <w:b/>
        </w:rPr>
        <w:t xml:space="preserve">التدفق التشغيلي الممول / غير الممول: </w:t>
      </w:r>
      <w:r>
        <w:t>بعد الفوائد وخدمة الدين (صافي الدخل + الإهلاك) مقابل قبلها (EBIT(1−T) + الإهلاك).</w:t>
      </w:r>
    </w:p>
    <w:sectPr w:rsidR="00FC693F" w:rsidRPr="0006063C" w:rsidSect="00034616">
      <w:footerReference w:type="default" r:id="rId9"/>
      <w:pgSz w:w="11906" w:h="16838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t xml:space="preserve"> /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