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570DE0"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570DE0"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053F02"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053F02">
        <w:rPr>
          <w:noProof/>
        </w:rPr>
        <w:t>2.</w:t>
      </w:r>
      <w:r w:rsidR="00053F02">
        <w:rPr>
          <w:rFonts w:asciiTheme="minorHAnsi" w:eastAsiaTheme="minorEastAsia" w:hAnsiTheme="minorHAnsi" w:cstheme="minorBidi"/>
          <w:noProof/>
          <w:sz w:val="22"/>
          <w:szCs w:val="22"/>
        </w:rPr>
        <w:tab/>
      </w:r>
      <w:r w:rsidR="00053F02">
        <w:rPr>
          <w:noProof/>
        </w:rPr>
        <w:t>Introduction</w:t>
      </w:r>
      <w:r w:rsidR="00053F02">
        <w:rPr>
          <w:noProof/>
        </w:rPr>
        <w:tab/>
      </w:r>
      <w:r w:rsidR="00053F02">
        <w:rPr>
          <w:noProof/>
        </w:rPr>
        <w:fldChar w:fldCharType="begin"/>
      </w:r>
      <w:r w:rsidR="00053F02">
        <w:rPr>
          <w:noProof/>
        </w:rPr>
        <w:instrText xml:space="preserve"> PAGEREF _Toc471938381 \h </w:instrText>
      </w:r>
      <w:r w:rsidR="00053F02">
        <w:rPr>
          <w:noProof/>
        </w:rPr>
      </w:r>
      <w:r w:rsidR="00053F02">
        <w:rPr>
          <w:noProof/>
        </w:rPr>
        <w:fldChar w:fldCharType="separate"/>
      </w:r>
      <w:r w:rsidR="00053F02">
        <w:rPr>
          <w:noProof/>
        </w:rPr>
        <w:t>2</w:t>
      </w:r>
      <w:r w:rsidR="00053F02">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_Toc471938382 \h </w:instrText>
      </w:r>
      <w:r>
        <w:rPr>
          <w:noProof/>
        </w:rPr>
      </w:r>
      <w:r>
        <w:rPr>
          <w:noProof/>
        </w:rPr>
        <w:fldChar w:fldCharType="separate"/>
      </w:r>
      <w:r>
        <w:rPr>
          <w:noProof/>
        </w:rPr>
        <w:t>2</w:t>
      </w:r>
      <w:r>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_Toc471938383 \h </w:instrText>
      </w:r>
      <w:r>
        <w:rPr>
          <w:noProof/>
        </w:rPr>
      </w:r>
      <w:r>
        <w:rPr>
          <w:noProof/>
        </w:rPr>
        <w:fldChar w:fldCharType="separate"/>
      </w:r>
      <w:r>
        <w:rPr>
          <w:noProof/>
        </w:rPr>
        <w:t>2</w:t>
      </w:r>
      <w:r>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_Toc471938384 \h </w:instrText>
      </w:r>
      <w:r>
        <w:rPr>
          <w:noProof/>
        </w:rPr>
      </w:r>
      <w:r>
        <w:rPr>
          <w:noProof/>
        </w:rPr>
        <w:fldChar w:fldCharType="separate"/>
      </w:r>
      <w:r>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1938381"/>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570DE0">
        <w:fldChar w:fldCharType="begin"/>
      </w:r>
      <w:r w:rsidR="00570DE0">
        <w:instrText xml:space="preserve"> DOCPROPERTY  $Product$  \* MERGEFORMAT </w:instrText>
      </w:r>
      <w:r w:rsidR="00570DE0">
        <w:fldChar w:fldCharType="separate"/>
      </w:r>
      <w:r>
        <w:t>Network Manager</w:t>
      </w:r>
      <w:r w:rsidR="00570DE0">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19383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570DE0"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053F02">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570DE0">
              <w:fldChar w:fldCharType="begin"/>
            </w:r>
            <w:r w:rsidR="00570DE0">
              <w:instrText xml:space="preserve"> DOCPROPERTY  "$Bentley Select Release$"  \* MERGEFORMAT </w:instrText>
            </w:r>
            <w:r w:rsidR="00570DE0">
              <w:fldChar w:fldCharType="separate"/>
            </w:r>
            <w:r w:rsidR="00D31448" w:rsidRPr="00D31448">
              <w:rPr>
                <w:sz w:val="16"/>
                <w:szCs w:val="16"/>
              </w:rPr>
              <w:t>exnm04070001en_updt55</w:t>
            </w:r>
            <w:r w:rsidR="00570DE0">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570DE0">
              <w:fldChar w:fldCharType="begin"/>
            </w:r>
            <w:r w:rsidR="00570DE0">
              <w:instrText xml:space="preserve"> DOCPROPERTY  "$Install SQL Script$"  \* MERGEFORMAT </w:instrText>
            </w:r>
            <w:r w:rsidR="00570DE0">
              <w:fldChar w:fldCharType="separate"/>
            </w:r>
            <w:r w:rsidR="00D31448" w:rsidRPr="00D31448">
              <w:rPr>
                <w:szCs w:val="16"/>
              </w:rPr>
              <w:t>exnm04070001en_updt55.sql</w:t>
            </w:r>
            <w:r w:rsidR="00570DE0">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1938383"/>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E2FEE" w:rsidP="00186C6C">
            <w:pPr>
              <w:pStyle w:val="TableText"/>
              <w:rPr>
                <w:rStyle w:val="TableTitleline"/>
                <w:b w:val="0"/>
                <w:bCs w:val="0"/>
                <w:i w:val="0"/>
                <w:iCs w:val="0"/>
              </w:rPr>
            </w:pPr>
            <w:r>
              <w:rPr>
                <w:rStyle w:val="TableTitleline"/>
                <w:b w:val="0"/>
                <w:bCs w:val="0"/>
                <w:i w:val="0"/>
                <w:iCs w:val="0"/>
              </w:rPr>
              <w:t>exnm0407001en_updt55</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D31448" w:rsidP="00186C6C">
            <w:pPr>
              <w:pStyle w:val="TableText"/>
            </w:pPr>
            <w:r>
              <w:t>1.8</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lastRenderedPageBreak/>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D31448" w:rsidP="00C10000">
            <w:pPr>
              <w:pStyle w:val="TableText"/>
            </w:pPr>
            <w:r>
              <w:t>1.1</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bl>
    <w:p w:rsidR="00A23F05" w:rsidRDefault="00A23F05" w:rsidP="00A23F05"/>
    <w:p w:rsidR="00A23F05" w:rsidRDefault="00A23F05" w:rsidP="00A23F05">
      <w:pPr>
        <w:rPr>
          <w:rFonts w:ascii="Arial" w:eastAsia="Times New Roman" w:hAnsi="Arial" w:cs="Arial"/>
          <w:b/>
          <w:kern w:val="28"/>
          <w:sz w:val="24"/>
          <w:szCs w:val="20"/>
        </w:rPr>
      </w:pPr>
      <w:r>
        <w:br w:type="page"/>
      </w:r>
      <w:bookmarkStart w:id="3" w:name="_GoBack"/>
      <w:bookmarkEnd w:id="3"/>
    </w:p>
    <w:p w:rsidR="00A23F05" w:rsidRDefault="00A23F05" w:rsidP="00A23F05">
      <w:pPr>
        <w:pStyle w:val="Heading1"/>
      </w:pPr>
      <w:bookmarkStart w:id="4" w:name="_Toc471938384"/>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570DE0"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lastRenderedPageBreak/>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D31448" w:rsidP="002033EA">
            <w:pPr>
              <w:rPr>
                <w:rStyle w:val="info-text3"/>
                <w:rFonts w:ascii="Arial" w:hAnsi="Arial" w:cs="Arial"/>
                <w:color w:val="000000"/>
                <w:sz w:val="16"/>
                <w:szCs w:val="16"/>
              </w:rPr>
            </w:pPr>
            <w:r>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Default="00D31448" w:rsidP="00476869">
            <w:pPr>
              <w:pStyle w:val="TableText"/>
              <w:rPr>
                <w:rFonts w:cs="Arial"/>
              </w:rPr>
            </w:pPr>
            <w:r>
              <w:rPr>
                <w:rFonts w:cs="Arial"/>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Default="0096050E" w:rsidP="0096050E">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Default="00D31448" w:rsidP="00476869">
            <w:pPr>
              <w:pStyle w:val="TableText"/>
              <w:rPr>
                <w:rFonts w:cs="Arial"/>
              </w:rPr>
            </w:pPr>
          </w:p>
        </w:tc>
        <w:tc>
          <w:tcPr>
            <w:tcW w:w="2243" w:type="dxa"/>
            <w:shd w:val="clear" w:color="auto" w:fill="FFFFFF" w:themeFill="background1"/>
          </w:tcPr>
          <w:p w:rsidR="00D31448" w:rsidRPr="00D303A8" w:rsidRDefault="00D31448"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r>
        <w:lastRenderedPageBreak/>
        <w:t>Notes on the u</w:t>
      </w:r>
      <w:r w:rsidR="0096050E">
        <w:t>se of Oracle pathing tools</w:t>
      </w:r>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w:t>
      </w:r>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 xml:space="preserve">'NW', 'ROAD', </w:t>
      </w:r>
      <w:r>
        <w:t>‘SPED’);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w:t>
      </w:r>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DE0" w:rsidRDefault="00570DE0" w:rsidP="005569C1">
      <w:pPr>
        <w:spacing w:after="0" w:line="240" w:lineRule="auto"/>
      </w:pPr>
      <w:r>
        <w:separator/>
      </w:r>
    </w:p>
  </w:endnote>
  <w:endnote w:type="continuationSeparator" w:id="0">
    <w:p w:rsidR="00570DE0" w:rsidRDefault="00570DE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DE0" w:rsidRDefault="00570DE0" w:rsidP="005569C1">
      <w:pPr>
        <w:spacing w:after="0" w:line="240" w:lineRule="auto"/>
      </w:pPr>
      <w:r>
        <w:separator/>
      </w:r>
    </w:p>
  </w:footnote>
  <w:footnote w:type="continuationSeparator" w:id="0">
    <w:p w:rsidR="00570DE0" w:rsidRDefault="00570DE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D31448">
            <w:t>30-Mar-17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570DE0" w:rsidP="004C74A8">
          <w:pPr>
            <w:rPr>
              <w:rStyle w:val="HighlightText"/>
            </w:rPr>
          </w:pPr>
          <w:r>
            <w:fldChar w:fldCharType="begin"/>
          </w:r>
          <w:r>
            <w:instrText xml:space="preserve"> DOCPROPERTY  $Product$  \* MERGEFORMAT </w:instrText>
          </w:r>
          <w:r>
            <w:fldChar w:fldCharType="separate"/>
          </w:r>
          <w:r w:rsidR="00EB219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570DE0" w:rsidP="00271312">
          <w:r>
            <w:fldChar w:fldCharType="begin"/>
          </w:r>
          <w:r>
            <w:instrText xml:space="preserve"> DOCPROPERTY  "$Base Release$"  \* MERGEFORMAT </w:instrText>
          </w:r>
          <w:r>
            <w:fldChar w:fldCharType="separate"/>
          </w:r>
          <w:r w:rsidR="00EB219E">
            <w:t>4.7.0.0</w:t>
          </w:r>
          <w:r>
            <w:fldChar w:fldCharType="end"/>
          </w:r>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E11D9F">
          <w:r>
            <w:t>Date</w:t>
          </w:r>
          <w:r w:rsidRPr="009E5C8E">
            <w:t>:</w:t>
          </w:r>
          <w:r w:rsidR="00E11D9F">
            <w:t>30</w:t>
          </w:r>
          <w:r w:rsidR="00E11D9F" w:rsidRPr="00E11D9F">
            <w:rPr>
              <w:vertAlign w:val="superscript"/>
            </w:rPr>
            <w:t>th</w:t>
          </w:r>
          <w:r w:rsidR="00E11D9F">
            <w:t xml:space="preserve"> March 2017</w:t>
          </w:r>
          <w:r w:rsidRPr="009E5C8E">
            <w:t xml:space="preserve"> </w:t>
          </w:r>
          <w:r w:rsidR="00570DE0">
            <w:fldChar w:fldCharType="begin"/>
          </w:r>
          <w:r w:rsidR="00570DE0">
            <w:instrText xml:space="preserve"> DOCPROPERTY  "$Bentley Select Release$"  \* MERGEFORMAT </w:instrText>
          </w:r>
          <w:r w:rsidR="00570DE0">
            <w:fldChar w:fldCharType="separate"/>
          </w:r>
          <w:r w:rsidR="00E11D9F">
            <w:t>exnm04070001en_updt55</w:t>
          </w:r>
          <w:r w:rsidR="00570DE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A23654">
            <w:rPr>
              <w:noProof/>
            </w:rPr>
            <w:t>8</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A23654">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3F02"/>
    <w:rsid w:val="00063EB0"/>
    <w:rsid w:val="000756F8"/>
    <w:rsid w:val="000817D6"/>
    <w:rsid w:val="00085F08"/>
    <w:rsid w:val="000A3D0B"/>
    <w:rsid w:val="000A6357"/>
    <w:rsid w:val="000D609E"/>
    <w:rsid w:val="000E6C41"/>
    <w:rsid w:val="00100D75"/>
    <w:rsid w:val="00103F48"/>
    <w:rsid w:val="00110A89"/>
    <w:rsid w:val="00113B6C"/>
    <w:rsid w:val="0011735E"/>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033EA"/>
    <w:rsid w:val="00255238"/>
    <w:rsid w:val="0025649B"/>
    <w:rsid w:val="00260569"/>
    <w:rsid w:val="00271312"/>
    <w:rsid w:val="002776E2"/>
    <w:rsid w:val="002B0F44"/>
    <w:rsid w:val="002D5F96"/>
    <w:rsid w:val="002F0612"/>
    <w:rsid w:val="002F7B95"/>
    <w:rsid w:val="003058BA"/>
    <w:rsid w:val="003077FC"/>
    <w:rsid w:val="003146D0"/>
    <w:rsid w:val="00316AF1"/>
    <w:rsid w:val="00324612"/>
    <w:rsid w:val="00337C62"/>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B6D1B"/>
    <w:rsid w:val="004C74A8"/>
    <w:rsid w:val="004D13D3"/>
    <w:rsid w:val="004E3D75"/>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71EB"/>
    <w:rsid w:val="00732487"/>
    <w:rsid w:val="00741A3F"/>
    <w:rsid w:val="00752D0B"/>
    <w:rsid w:val="007555DF"/>
    <w:rsid w:val="00760A93"/>
    <w:rsid w:val="00765711"/>
    <w:rsid w:val="007848C6"/>
    <w:rsid w:val="007957E6"/>
    <w:rsid w:val="007A7B6A"/>
    <w:rsid w:val="007B6CE2"/>
    <w:rsid w:val="007B713B"/>
    <w:rsid w:val="007C71E4"/>
    <w:rsid w:val="007E2632"/>
    <w:rsid w:val="007F0700"/>
    <w:rsid w:val="007F0F5D"/>
    <w:rsid w:val="007F2DDB"/>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E08F7"/>
    <w:rsid w:val="008F1DEA"/>
    <w:rsid w:val="008F6B2D"/>
    <w:rsid w:val="0090161C"/>
    <w:rsid w:val="00903675"/>
    <w:rsid w:val="009227B3"/>
    <w:rsid w:val="0093140A"/>
    <w:rsid w:val="0093656A"/>
    <w:rsid w:val="009402F4"/>
    <w:rsid w:val="00954D94"/>
    <w:rsid w:val="0096050E"/>
    <w:rsid w:val="00980EE6"/>
    <w:rsid w:val="00983D7B"/>
    <w:rsid w:val="00991A8D"/>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672"/>
    <w:rsid w:val="00CC3FAB"/>
    <w:rsid w:val="00CC59C0"/>
    <w:rsid w:val="00CD749B"/>
    <w:rsid w:val="00CF1726"/>
    <w:rsid w:val="00CF423B"/>
    <w:rsid w:val="00D01B68"/>
    <w:rsid w:val="00D214E6"/>
    <w:rsid w:val="00D303A8"/>
    <w:rsid w:val="00D31448"/>
    <w:rsid w:val="00D33F49"/>
    <w:rsid w:val="00D40427"/>
    <w:rsid w:val="00D5537E"/>
    <w:rsid w:val="00D6476A"/>
    <w:rsid w:val="00D82E14"/>
    <w:rsid w:val="00DB529E"/>
    <w:rsid w:val="00DC510F"/>
    <w:rsid w:val="00DD05C8"/>
    <w:rsid w:val="00DD2E42"/>
    <w:rsid w:val="00DD653A"/>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F37DC"/>
    <w:rsid w:val="00EF4812"/>
    <w:rsid w:val="00F03FB5"/>
    <w:rsid w:val="00F13E16"/>
    <w:rsid w:val="00F21DFE"/>
    <w:rsid w:val="00F30FEA"/>
    <w:rsid w:val="00F5325B"/>
    <w:rsid w:val="00F67EFA"/>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3138A-EE5F-402C-B294-A1DFDCF9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7841</TotalTime>
  <Pages>9</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14</cp:revision>
  <cp:lastPrinted>2016-10-28T16:04:00Z</cp:lastPrinted>
  <dcterms:created xsi:type="dcterms:W3CDTF">2016-12-07T14:00:00Z</dcterms:created>
  <dcterms:modified xsi:type="dcterms:W3CDTF">2017-03-30T14:06:00Z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28th March 2017</vt:lpwstr>
  </property>
  <property fmtid="{D5CDD505-2E9C-101B-9397-08002B2CF9AE}" pid="5" name="$Bentley Select Release$">
    <vt:lpwstr>exnm04070001en_updt55</vt:lpwstr>
  </property>
  <property fmtid="{D5CDD505-2E9C-101B-9397-08002B2CF9AE}" pid="6" name="$Fix Number$">
    <vt:lpwstr>55</vt:lpwstr>
  </property>
  <property fmtid="{D5CDD505-2E9C-101B-9397-08002B2CF9AE}" pid="7" name="$Install SQL Script$">
    <vt:lpwstr>exnm04070001en_updt55.sql</vt:lpwstr>
  </property>
</Properties>
</file>