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BB4C32"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BB4C32"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0C4F2C">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sidR="000C4F2C">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sidR="000C4F2C">
        <w:rPr>
          <w:noProof/>
        </w:rPr>
        <w:t>3</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sidR="000C4F2C">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sidR="000C4F2C">
        <w:rPr>
          <w:noProof/>
        </w:rPr>
        <w:t>7</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BB4C32">
        <w:fldChar w:fldCharType="begin"/>
      </w:r>
      <w:r w:rsidR="00BB4C32">
        <w:instrText xml:space="preserve"> DOCPROPERTY  $Product$  \* MERGEFORMAT </w:instrText>
      </w:r>
      <w:r w:rsidR="00BB4C32">
        <w:fldChar w:fldCharType="separate"/>
      </w:r>
      <w:r>
        <w:t>Network Manager</w:t>
      </w:r>
      <w:r w:rsidR="00BB4C32">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 xml:space="preserve">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BB4C32"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BB4C32">
              <w:fldChar w:fldCharType="begin"/>
            </w:r>
            <w:r w:rsidR="00BB4C32">
              <w:instrText xml:space="preserve"> DOCPROPERTY  "$Bentley Select Release$"  \* MERGEFORMAT </w:instrText>
            </w:r>
            <w:r w:rsidR="00BB4C32">
              <w:fldChar w:fldCharType="separate"/>
            </w:r>
            <w:r w:rsidR="009539F9" w:rsidRPr="009539F9">
              <w:rPr>
                <w:sz w:val="16"/>
                <w:szCs w:val="16"/>
              </w:rPr>
              <w:t>exnm04070010en_updt55</w:t>
            </w:r>
            <w:r w:rsidR="00BB4C32">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BB4C32">
              <w:fldChar w:fldCharType="begin"/>
            </w:r>
            <w:r w:rsidR="00BB4C32">
              <w:instrText xml:space="preserve"> DOCPROPERTY  "$Install SQL Script$"  \* MERGEFORMAT </w:instrText>
            </w:r>
            <w:r w:rsidR="00BB4C32">
              <w:fldChar w:fldCharType="separate"/>
            </w:r>
            <w:r w:rsidR="009539F9" w:rsidRPr="009539F9">
              <w:rPr>
                <w:szCs w:val="16"/>
              </w:rPr>
              <w:t>exnm04070010en_updt55.sql</w:t>
            </w:r>
            <w:r w:rsidR="00BB4C32">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lastRenderedPageBreak/>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251E6D" w:rsidP="007A6269">
            <w:pPr>
              <w:pStyle w:val="TableText"/>
              <w:rPr>
                <w:rStyle w:val="TableTitleline"/>
                <w:b w:val="0"/>
                <w:bCs w:val="0"/>
                <w:i w:val="0"/>
                <w:iCs w:val="0"/>
              </w:rPr>
            </w:pPr>
            <w:r>
              <w:rPr>
                <w:rStyle w:val="TableTitleline"/>
                <w:b w:val="0"/>
                <w:bCs w:val="0"/>
                <w:i w:val="0"/>
                <w:iCs w:val="0"/>
              </w:rPr>
              <w:t>exnm0407010</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w:t>
            </w:r>
            <w:r w:rsidR="007A6269">
              <w:t>.0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CC3A39"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CC3A39" w:rsidP="00186C6C">
            <w:pPr>
              <w:pStyle w:val="TableText"/>
            </w:pPr>
            <w:r>
              <w:t>1.37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86415C" w:rsidP="00186C6C">
            <w:pPr>
              <w:pStyle w:val="TableText"/>
            </w:pPr>
            <w:r>
              <w:t>1.14</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CC3A39"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CC3A39" w:rsidP="00186C6C">
            <w:pPr>
              <w:pStyle w:val="TableText"/>
            </w:pPr>
            <w:r>
              <w:t>1.29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CC3A39" w:rsidP="00186C6C">
            <w:pPr>
              <w:pStyle w:val="TableText"/>
            </w:pPr>
            <w:r>
              <w:t>1.11</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E00848" w:rsidP="00C10000">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E00848" w:rsidP="00C10000">
            <w:pPr>
              <w:pStyle w:val="TableText"/>
            </w:pPr>
            <w:r>
              <w:t>1.5</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CC3A39" w:rsidP="00C10000">
            <w:pPr>
              <w:pStyle w:val="TableText"/>
            </w:pPr>
            <w:r>
              <w:t>1.10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CC3A39" w:rsidP="00C10000">
            <w:pPr>
              <w:pStyle w:val="TableText"/>
            </w:pPr>
            <w:r>
              <w:t>1.14</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CC3A39"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FD5F8C" w:rsidP="00C10000">
            <w:pPr>
              <w:pStyle w:val="TableText"/>
            </w:pPr>
            <w:r>
              <w:t>1.17</w:t>
            </w:r>
          </w:p>
        </w:tc>
      </w:tr>
      <w:tr w:rsidR="006E0CC5" w:rsidRPr="00EA3636" w:rsidTr="00186C6C">
        <w:trPr>
          <w:trHeight w:val="181"/>
        </w:trPr>
        <w:tc>
          <w:tcPr>
            <w:tcW w:w="3256" w:type="dxa"/>
            <w:shd w:val="clear" w:color="auto" w:fill="FFFFFF" w:themeFill="background1"/>
          </w:tcPr>
          <w:p w:rsidR="006E0CC5" w:rsidRDefault="006E0CC5" w:rsidP="002931B8">
            <w:pPr>
              <w:pStyle w:val="TableText"/>
              <w:rPr>
                <w:rStyle w:val="TableTitleline"/>
                <w:b w:val="0"/>
                <w:bCs w:val="0"/>
                <w:i w:val="0"/>
                <w:iCs w:val="0"/>
              </w:rPr>
            </w:pPr>
            <w:proofErr w:type="spellStart"/>
            <w:r>
              <w:rPr>
                <w:rStyle w:val="TableTitleline"/>
                <w:b w:val="0"/>
                <w:bCs w:val="0"/>
                <w:i w:val="0"/>
                <w:iCs w:val="0"/>
              </w:rPr>
              <w:lastRenderedPageBreak/>
              <w:t>make_nw_from_lrefs.prc</w:t>
            </w:r>
            <w:proofErr w:type="spellEnd"/>
          </w:p>
        </w:tc>
        <w:tc>
          <w:tcPr>
            <w:tcW w:w="7022" w:type="dxa"/>
            <w:shd w:val="clear" w:color="auto" w:fill="FFFFFF" w:themeFill="background1"/>
          </w:tcPr>
          <w:p w:rsidR="006E0CC5" w:rsidRDefault="006E0CC5" w:rsidP="00C10000">
            <w:pPr>
              <w:pStyle w:val="TableText"/>
            </w:pPr>
            <w:r>
              <w:t>1.1</w:t>
            </w:r>
          </w:p>
        </w:tc>
      </w:tr>
      <w:tr w:rsidR="00B27D1D" w:rsidRPr="00EA3636" w:rsidTr="00186C6C">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proofErr w:type="spellStart"/>
            <w:r>
              <w:rPr>
                <w:rStyle w:val="TableTitleline"/>
                <w:b w:val="0"/>
                <w:bCs w:val="0"/>
                <w:i w:val="0"/>
                <w:iCs w:val="0"/>
              </w:rPr>
              <w:t>v_nm_datum_</w:t>
            </w:r>
            <w:proofErr w:type="gramStart"/>
            <w:r>
              <w:rPr>
                <w:rStyle w:val="TableTitleline"/>
                <w:b w:val="0"/>
                <w:bCs w:val="0"/>
                <w:i w:val="0"/>
                <w:iCs w:val="0"/>
              </w:rPr>
              <w:t>themes.vw</w:t>
            </w:r>
            <w:proofErr w:type="spellEnd"/>
            <w:proofErr w:type="gramEnd"/>
          </w:p>
        </w:tc>
        <w:tc>
          <w:tcPr>
            <w:tcW w:w="7022" w:type="dxa"/>
            <w:shd w:val="clear" w:color="auto" w:fill="FFFFFF" w:themeFill="background1"/>
          </w:tcPr>
          <w:p w:rsidR="00B27D1D" w:rsidRDefault="00B27D1D" w:rsidP="00C10000">
            <w:pPr>
              <w:pStyle w:val="TableText"/>
            </w:pPr>
            <w:r>
              <w:t>1.2</w:t>
            </w:r>
          </w:p>
        </w:tc>
      </w:tr>
      <w:tr w:rsidR="00B27D1D" w:rsidRPr="00EA3636" w:rsidTr="00186C6C">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proofErr w:type="spellStart"/>
            <w:r>
              <w:rPr>
                <w:rStyle w:val="TableTitleline"/>
                <w:b w:val="0"/>
                <w:bCs w:val="0"/>
                <w:i w:val="0"/>
                <w:iCs w:val="0"/>
              </w:rPr>
              <w:t>V_LB_PATH_BETWEEN_POINTS.vw</w:t>
            </w:r>
            <w:proofErr w:type="spellEnd"/>
          </w:p>
        </w:tc>
        <w:tc>
          <w:tcPr>
            <w:tcW w:w="7022" w:type="dxa"/>
            <w:shd w:val="clear" w:color="auto" w:fill="FFFFFF" w:themeFill="background1"/>
          </w:tcPr>
          <w:p w:rsidR="00B27D1D" w:rsidRDefault="00B27D1D" w:rsidP="00C10000">
            <w:pPr>
              <w:pStyle w:val="TableText"/>
            </w:pPr>
            <w:r>
              <w:t>1.6</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9796691"/>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BB4C32"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lastRenderedPageBreak/>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186C6C">
        <w:trPr>
          <w:trHeight w:val="181"/>
        </w:trPr>
        <w:tc>
          <w:tcPr>
            <w:tcW w:w="5965" w:type="dxa"/>
            <w:shd w:val="clear" w:color="auto" w:fill="FFFFFF" w:themeFill="background1"/>
          </w:tcPr>
          <w:p w:rsidR="00150E43" w:rsidRDefault="00150E43" w:rsidP="00150E43">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Synonyms to eB Interface functions are missing in the original install scripts. These synonyms are corrected in the build 8 (onwards) of this fix. It works around the TFS entry shown but does not solve the issue in </w:t>
            </w:r>
            <w:r>
              <w:rPr>
                <w:rStyle w:val="info-text3"/>
                <w:rFonts w:ascii="Segoe UI" w:hAnsi="Segoe UI" w:cs="Segoe UI"/>
                <w:color w:val="000000"/>
                <w:sz w:val="18"/>
                <w:szCs w:val="18"/>
              </w:rPr>
              <w:lastRenderedPageBreak/>
              <w:t>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lastRenderedPageBreak/>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C</w:t>
            </w:r>
            <w:r w:rsidRPr="001345C2">
              <w:rPr>
                <w:rStyle w:val="info-text3"/>
                <w:rFonts w:ascii="Segoe UI" w:hAnsi="Segoe UI" w:cs="Segoe UI"/>
                <w:color w:val="000000"/>
                <w:sz w:val="18"/>
                <w:szCs w:val="18"/>
              </w:rPr>
              <w:t>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Problem in the aggregation of offset linear geometries</w:t>
            </w:r>
            <w:r>
              <w:rPr>
                <w:rStyle w:val="info-text3"/>
                <w:rFonts w:ascii="Segoe UI" w:hAnsi="Segoe UI" w:cs="Segoe UI"/>
                <w:color w:val="000000"/>
                <w:sz w:val="18"/>
                <w:szCs w:val="18"/>
              </w:rPr>
              <w:t xml:space="preserve">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D</w:t>
            </w:r>
            <w:r w:rsidRPr="001345C2">
              <w:rPr>
                <w:rStyle w:val="info-text3"/>
                <w:rFonts w:ascii="Segoe UI" w:hAnsi="Segoe UI" w:cs="Segoe UI"/>
                <w:color w:val="000000"/>
                <w:sz w:val="18"/>
                <w:szCs w:val="18"/>
              </w:rPr>
              <w:t>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Pr>
                <w:rStyle w:val="info-text3"/>
                <w:rFonts w:ascii="Segoe UI" w:hAnsi="Segoe UI" w:cs="Segoe UI"/>
                <w:color w:val="000000"/>
                <w:sz w:val="18"/>
                <w:szCs w:val="18"/>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U</w:t>
            </w:r>
            <w:r w:rsidRPr="001345C2">
              <w:rPr>
                <w:rStyle w:val="info-text3"/>
                <w:rFonts w:ascii="Segoe UI" w:hAnsi="Segoe UI" w:cs="Segoe UI"/>
                <w:color w:val="000000"/>
                <w:sz w:val="18"/>
                <w:szCs w:val="18"/>
              </w:rPr>
              <w:t>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875A36">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 xml:space="preserve">'Linear type does not support aggregation' error message is thrown </w:t>
            </w:r>
            <w:r w:rsidR="00875A36">
              <w:rPr>
                <w:rStyle w:val="info-text3"/>
                <w:rFonts w:ascii="Segoe UI" w:hAnsi="Segoe UI" w:cs="Segoe UI"/>
                <w:color w:val="000000"/>
                <w:sz w:val="18"/>
                <w:szCs w:val="18"/>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Default="00314DF6" w:rsidP="001607AF">
            <w:pPr>
              <w:rPr>
                <w:rStyle w:val="info-text3"/>
                <w:rFonts w:ascii="Arial" w:hAnsi="Arial" w:cs="Arial"/>
                <w:color w:val="000000"/>
                <w:sz w:val="16"/>
                <w:szCs w:val="16"/>
              </w:rPr>
            </w:pPr>
            <w:bookmarkStart w:id="4" w:name="_GoBack"/>
            <w:bookmarkEnd w:id="4"/>
            <w:proofErr w:type="spellStart"/>
            <w:r w:rsidRPr="00E502E0">
              <w:rPr>
                <w:rStyle w:val="info-text3"/>
                <w:rFonts w:ascii="Arial" w:hAnsi="Arial" w:cs="Arial"/>
                <w:color w:val="000000"/>
                <w:sz w:val="16"/>
                <w:szCs w:val="16"/>
              </w:rPr>
              <w:t>ComputeLinearLocation</w:t>
            </w:r>
            <w:proofErr w:type="spellEnd"/>
            <w:r w:rsidRPr="00E502E0">
              <w:rPr>
                <w:rStyle w:val="info-text3"/>
                <w:rFonts w:ascii="Arial" w:hAnsi="Arial" w:cs="Arial"/>
                <w:color w:val="000000"/>
                <w:sz w:val="16"/>
                <w:szCs w:val="16"/>
              </w:rPr>
              <w:t xml:space="preserve"> query fails with error ORA-29532</w:t>
            </w:r>
          </w:p>
          <w:p w:rsidR="00314DF6" w:rsidRPr="00E502E0" w:rsidRDefault="00314DF6" w:rsidP="001607AF">
            <w:pPr>
              <w:rPr>
                <w:rStyle w:val="info-text3"/>
                <w:rFonts w:ascii="Arial" w:hAnsi="Arial" w:cs="Arial"/>
                <w:color w:val="000000"/>
                <w:sz w:val="16"/>
                <w:szCs w:val="16"/>
              </w:rPr>
            </w:pPr>
            <w:r>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1607AF">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E502E0" w:rsidRDefault="00314DF6" w:rsidP="001607AF">
            <w:pPr>
              <w:rPr>
                <w:rStyle w:val="info-text3"/>
                <w:rFonts w:ascii="Arial" w:hAnsi="Arial" w:cs="Arial"/>
                <w:color w:val="000000"/>
                <w:sz w:val="16"/>
                <w:szCs w:val="16"/>
              </w:rPr>
            </w:pPr>
            <w:r w:rsidRPr="00875A36">
              <w:rPr>
                <w:rStyle w:val="info-text3"/>
                <w:rFonts w:ascii="Arial" w:hAnsi="Arial" w:cs="Arial"/>
                <w:color w:val="000000"/>
                <w:sz w:val="16"/>
                <w:szCs w:val="16"/>
              </w:rPr>
              <w:t>Add continuous location on</w:t>
            </w:r>
            <w:r>
              <w:rPr>
                <w:rStyle w:val="info-text3"/>
                <w:rFonts w:ascii="Arial" w:hAnsi="Arial" w:cs="Arial"/>
                <w:color w:val="000000"/>
                <w:sz w:val="16"/>
                <w:szCs w:val="16"/>
              </w:rPr>
              <w:t xml:space="preserve"> ESU Save location throws error - </w:t>
            </w:r>
            <w:r w:rsidRPr="00875A36">
              <w:rPr>
                <w:rStyle w:val="info-text3"/>
                <w:rFonts w:ascii="Arial" w:hAnsi="Arial" w:cs="Arial"/>
                <w:color w:val="000000"/>
                <w:sz w:val="16"/>
                <w:szCs w:val="16"/>
              </w:rPr>
              <w:t>‘From’ measure greater than the ‘To’ measure</w:t>
            </w:r>
          </w:p>
        </w:tc>
        <w:tc>
          <w:tcPr>
            <w:tcW w:w="2070" w:type="dxa"/>
            <w:shd w:val="clear" w:color="auto" w:fill="FFFFFF" w:themeFill="background1"/>
          </w:tcPr>
          <w:p w:rsidR="00314DF6" w:rsidRPr="00E502E0" w:rsidRDefault="00314DF6" w:rsidP="001607AF">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E502E0" w:rsidRDefault="00314DF6" w:rsidP="001607AF">
            <w:pPr>
              <w:rPr>
                <w:rStyle w:val="info-text3"/>
                <w:rFonts w:ascii="Arial" w:hAnsi="Arial" w:cs="Arial"/>
                <w:color w:val="000000"/>
                <w:sz w:val="16"/>
                <w:szCs w:val="16"/>
              </w:rPr>
            </w:pPr>
            <w:r w:rsidRPr="00207E1D">
              <w:rPr>
                <w:rStyle w:val="info-text3"/>
                <w:rFonts w:ascii="Arial" w:hAnsi="Arial" w:cs="Arial"/>
                <w:color w:val="000000"/>
                <w:sz w:val="16"/>
                <w:szCs w:val="16"/>
              </w:rPr>
              <w:t xml:space="preserve">Synonym and object </w:t>
            </w:r>
            <w:proofErr w:type="spellStart"/>
            <w:r w:rsidRPr="00207E1D">
              <w:rPr>
                <w:rStyle w:val="info-text3"/>
                <w:rFonts w:ascii="Arial" w:hAnsi="Arial" w:cs="Arial"/>
                <w:color w:val="000000"/>
                <w:sz w:val="16"/>
                <w:szCs w:val="16"/>
              </w:rPr>
              <w:t>mis</w:t>
            </w:r>
            <w:proofErr w:type="spellEnd"/>
            <w:r w:rsidRPr="00207E1D">
              <w:rPr>
                <w:rStyle w:val="info-text3"/>
                <w:rFonts w:ascii="Arial" w:hAnsi="Arial" w:cs="Arial"/>
                <w:color w:val="000000"/>
                <w:sz w:val="16"/>
                <w:szCs w:val="16"/>
              </w:rPr>
              <w:t>-match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1607AF">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E502E0" w:rsidRDefault="00314DF6" w:rsidP="001607AF">
            <w:pPr>
              <w:rPr>
                <w:rStyle w:val="info-text3"/>
                <w:rFonts w:ascii="Arial" w:hAnsi="Arial" w:cs="Arial"/>
                <w:color w:val="000000"/>
                <w:sz w:val="16"/>
                <w:szCs w:val="16"/>
              </w:rPr>
            </w:pPr>
            <w:r w:rsidRPr="00207E1D">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1607AF">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207E1D" w:rsidRDefault="00314DF6" w:rsidP="001607AF">
            <w:pPr>
              <w:rPr>
                <w:rStyle w:val="info-text3"/>
                <w:rFonts w:ascii="Arial" w:hAnsi="Arial" w:cs="Arial"/>
                <w:color w:val="000000"/>
                <w:sz w:val="16"/>
                <w:szCs w:val="16"/>
              </w:rPr>
            </w:pPr>
            <w:r w:rsidRPr="00207E1D">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1607AF">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207E1D" w:rsidRDefault="00314DF6" w:rsidP="001607AF">
            <w:pPr>
              <w:rPr>
                <w:rStyle w:val="info-text3"/>
                <w:rFonts w:ascii="Arial" w:hAnsi="Arial" w:cs="Arial"/>
                <w:color w:val="000000"/>
                <w:sz w:val="16"/>
                <w:szCs w:val="16"/>
              </w:rPr>
            </w:pPr>
            <w:r w:rsidRPr="00207E1D">
              <w:rPr>
                <w:rStyle w:val="info-text3"/>
                <w:rFonts w:ascii="Arial" w:hAnsi="Arial" w:cs="Arial"/>
                <w:color w:val="000000"/>
                <w:sz w:val="16"/>
                <w:szCs w:val="16"/>
              </w:rPr>
              <w:lastRenderedPageBreak/>
              <w:t>Trace from mid-point of first network element to end of directly connected network element incorrect</w:t>
            </w:r>
          </w:p>
        </w:tc>
        <w:tc>
          <w:tcPr>
            <w:tcW w:w="2070" w:type="dxa"/>
            <w:shd w:val="clear" w:color="auto" w:fill="FFFFFF" w:themeFill="background1"/>
          </w:tcPr>
          <w:p w:rsidR="00314DF6" w:rsidRPr="00207E1D" w:rsidRDefault="00314DF6" w:rsidP="001607AF">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207E1D" w:rsidRDefault="00314DF6" w:rsidP="001607AF">
            <w:pPr>
              <w:rPr>
                <w:rFonts w:ascii="Arial" w:hAnsi="Arial" w:cs="Arial"/>
                <w:color w:val="000000"/>
                <w:sz w:val="16"/>
                <w:szCs w:val="16"/>
              </w:rPr>
            </w:pPr>
            <w:r w:rsidRPr="00207E1D">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1607AF">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207E1D" w:rsidRDefault="00314DF6" w:rsidP="001607AF">
            <w:pPr>
              <w:rPr>
                <w:rFonts w:ascii="Arial" w:hAnsi="Arial" w:cs="Arial"/>
                <w:color w:val="000000"/>
                <w:sz w:val="16"/>
                <w:szCs w:val="16"/>
              </w:rPr>
            </w:pPr>
            <w:r w:rsidRPr="00207E1D">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1607AF">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207E1D" w:rsidRDefault="00314DF6" w:rsidP="001607AF">
            <w:pPr>
              <w:rPr>
                <w:rFonts w:ascii="Arial" w:hAnsi="Arial" w:cs="Arial"/>
                <w:color w:val="000000"/>
                <w:sz w:val="16"/>
                <w:szCs w:val="16"/>
              </w:rPr>
            </w:pPr>
            <w:r w:rsidRPr="00207E1D">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1607AF">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1607AF">
            <w:pPr>
              <w:pStyle w:val="TableText"/>
              <w:rPr>
                <w:rFonts w:cs="Arial"/>
                <w:szCs w:val="16"/>
              </w:rPr>
            </w:pPr>
          </w:p>
        </w:tc>
      </w:tr>
      <w:tr w:rsidR="00314DF6" w:rsidRPr="00D303A8" w:rsidTr="001607AF">
        <w:trPr>
          <w:trHeight w:val="181"/>
        </w:trPr>
        <w:tc>
          <w:tcPr>
            <w:tcW w:w="5965" w:type="dxa"/>
            <w:shd w:val="clear" w:color="auto" w:fill="FFFFFF" w:themeFill="background1"/>
          </w:tcPr>
          <w:p w:rsidR="00314DF6" w:rsidRPr="00207E1D" w:rsidRDefault="00314DF6" w:rsidP="001607AF">
            <w:pPr>
              <w:rPr>
                <w:rFonts w:ascii="Arial" w:hAnsi="Arial" w:cs="Arial"/>
                <w:color w:val="000000"/>
                <w:sz w:val="16"/>
                <w:szCs w:val="16"/>
              </w:rPr>
            </w:pPr>
            <w:r w:rsidRPr="00D65431">
              <w:rPr>
                <w:rStyle w:val="info-text3"/>
                <w:rFonts w:ascii="Arial" w:hAnsi="Arial" w:cs="Arial"/>
                <w:color w:val="000000"/>
                <w:sz w:val="16"/>
                <w:szCs w:val="16"/>
              </w:rPr>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1607AF">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1607AF">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w:t>
      </w:r>
      <w:proofErr w:type="spellStart"/>
      <w:r>
        <w:t>lb_path_reg</w:t>
      </w:r>
      <w:proofErr w:type="spellEnd"/>
      <w:r>
        <w:t xml:space="preserve"> is now obsolete and will be removed in a future release. Also, certain code within the </w:t>
      </w:r>
      <w:proofErr w:type="spellStart"/>
      <w:r>
        <w:t>lb_path</w:t>
      </w:r>
      <w:proofErr w:type="spellEnd"/>
      <w:r>
        <w:t xml:space="preserve"> package such as </w:t>
      </w:r>
      <w:proofErr w:type="spellStart"/>
      <w:r>
        <w:t>lb_path.set_network</w:t>
      </w:r>
      <w:proofErr w:type="spellEnd"/>
      <w:r>
        <w:t xml:space="preserve">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 xml:space="preserve">The graph is instantiated over the network through reference to the procedure </w:t>
      </w:r>
      <w:proofErr w:type="spellStart"/>
      <w:r>
        <w:t>lb_</w:t>
      </w:r>
      <w:proofErr w:type="gramStart"/>
      <w:r>
        <w:t>path.make</w:t>
      </w:r>
      <w:proofErr w:type="gramEnd"/>
      <w:r>
        <w:t>_nw_from_lrefs</w:t>
      </w:r>
      <w:proofErr w:type="spellEnd"/>
      <w:r>
        <w:t xml:space="preserve">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xml:space="preserve">. Note that this is cached and changes will only take effect within new sessions or after the </w:t>
      </w:r>
      <w:proofErr w:type="spellStart"/>
      <w:r>
        <w:t>lb_path</w:t>
      </w:r>
      <w:proofErr w:type="spellEnd"/>
      <w:r>
        <w:t xml:space="preserve">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075DA3" w:rsidRDefault="00075DA3" w:rsidP="0096050E"/>
    <w:sectPr w:rsidR="00075DA3"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C32" w:rsidRDefault="00BB4C32" w:rsidP="005569C1">
      <w:pPr>
        <w:spacing w:after="0" w:line="240" w:lineRule="auto"/>
      </w:pPr>
      <w:r>
        <w:separator/>
      </w:r>
    </w:p>
  </w:endnote>
  <w:endnote w:type="continuationSeparator" w:id="0">
    <w:p w:rsidR="00BB4C32" w:rsidRDefault="00BB4C3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C32" w:rsidRDefault="00BB4C32" w:rsidP="005569C1">
      <w:pPr>
        <w:spacing w:after="0" w:line="240" w:lineRule="auto"/>
      </w:pPr>
      <w:r>
        <w:separator/>
      </w:r>
    </w:p>
  </w:footnote>
  <w:footnote w:type="continuationSeparator" w:id="0">
    <w:p w:rsidR="00BB4C32" w:rsidRDefault="00BB4C32"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D65431">
            <w:t>13-Nov-17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0C4F2C">
            <w:t>10</w:t>
          </w:r>
          <w:r>
            <w:fldChar w:fldCharType="end"/>
          </w:r>
        </w:p>
      </w:tc>
    </w:tr>
  </w:tbl>
  <w:p w:rsidR="00A23F05" w:rsidRPr="00EB44DD" w:rsidRDefault="00A23F0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B4C32" w:rsidP="004C74A8">
          <w:pPr>
            <w:rPr>
              <w:rStyle w:val="HighlightText"/>
            </w:rPr>
          </w:pPr>
          <w:r>
            <w:fldChar w:fldCharType="begin"/>
          </w:r>
          <w:r>
            <w:instrText xml:space="preserve"> DOCPROPERTY  $Product$  \* MERGEFORMAT </w:instrText>
          </w:r>
          <w:r>
            <w:fldChar w:fldCharType="separate"/>
          </w:r>
          <w:r w:rsidR="000C4F2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B4C32" w:rsidP="00271312">
          <w:r>
            <w:fldChar w:fldCharType="begin"/>
          </w:r>
          <w:r>
            <w:instrText xml:space="preserve"> DOCPROPERTY  "$Base Release$"  \* MERGEFORMAT </w:instrText>
          </w:r>
          <w:r>
            <w:fldChar w:fldCharType="separate"/>
          </w:r>
          <w:r w:rsidR="000C4F2C">
            <w:t>4.7.0.0</w:t>
          </w:r>
          <w:r>
            <w:fldChar w:fldCharType="end"/>
          </w:r>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4E325B">
          <w:r>
            <w:t>Date</w:t>
          </w:r>
          <w:r w:rsidRPr="009E5C8E">
            <w:t>:</w:t>
          </w:r>
          <w:r w:rsidR="004E325B">
            <w:t xml:space="preserve"> </w:t>
          </w:r>
          <w:r w:rsidR="0092554B">
            <w:t>13</w:t>
          </w:r>
          <w:r w:rsidR="0092554B" w:rsidRPr="0092554B">
            <w:rPr>
              <w:vertAlign w:val="superscript"/>
            </w:rPr>
            <w:t>th</w:t>
          </w:r>
          <w:r w:rsidR="0092554B">
            <w:t xml:space="preserve"> November</w:t>
          </w:r>
          <w:r w:rsidR="00FD78D0">
            <w:t xml:space="preserve"> 2017</w:t>
          </w:r>
          <w:r w:rsidRPr="009E5C8E">
            <w:t xml:space="preserve"> </w:t>
          </w:r>
          <w:r w:rsidR="00BB4C32">
            <w:fldChar w:fldCharType="begin"/>
          </w:r>
          <w:r w:rsidR="00BB4C32">
            <w:instrText xml:space="preserve"> DOCPROPERTY  "$Bentley Select Release$"  \* MERGEFORMAT </w:instrText>
          </w:r>
          <w:r w:rsidR="00BB4C32">
            <w:fldChar w:fldCharType="separate"/>
          </w:r>
          <w:bookmarkStart w:id="6" w:name="_Hlk498337911"/>
          <w:r w:rsidR="0092554B">
            <w:t>exnm04070010en</w:t>
          </w:r>
          <w:bookmarkEnd w:id="6"/>
          <w:r w:rsidR="0092554B">
            <w:t>_updt55</w:t>
          </w:r>
          <w:r w:rsidR="00BB4C3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53484">
            <w:rPr>
              <w:noProof/>
            </w:rPr>
            <w:t>10</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53484">
            <w:rPr>
              <w:noProof/>
            </w:rPr>
            <w:t>10</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E502E0" w:rsidTr="004C74A8">
      <w:trPr>
        <w:cantSplit/>
        <w:trHeight w:val="557"/>
      </w:trPr>
      <w:tc>
        <w:tcPr>
          <w:tcW w:w="1757" w:type="pct"/>
        </w:tcPr>
        <w:p w:rsidR="00E502E0" w:rsidRDefault="00E502E0" w:rsidP="0070557B">
          <w:pPr>
            <w:pStyle w:val="Header"/>
          </w:pPr>
        </w:p>
      </w:tc>
      <w:tc>
        <w:tcPr>
          <w:tcW w:w="1199" w:type="pct"/>
          <w:vAlign w:val="center"/>
        </w:tcPr>
        <w:p w:rsidR="00E502E0" w:rsidRDefault="00E502E0" w:rsidP="00271312"/>
      </w:tc>
      <w:tc>
        <w:tcPr>
          <w:tcW w:w="1319" w:type="pct"/>
          <w:vAlign w:val="center"/>
        </w:tcPr>
        <w:p w:rsidR="00E502E0" w:rsidRDefault="00E502E0" w:rsidP="00E502E0"/>
      </w:tc>
      <w:tc>
        <w:tcPr>
          <w:tcW w:w="725" w:type="pct"/>
          <w:vAlign w:val="center"/>
        </w:tcPr>
        <w:p w:rsidR="00E502E0" w:rsidRPr="00F354D2" w:rsidRDefault="00E502E0" w:rsidP="005A0CDB"/>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75DA3"/>
    <w:rsid w:val="000817D6"/>
    <w:rsid w:val="00085F08"/>
    <w:rsid w:val="00087F91"/>
    <w:rsid w:val="00091288"/>
    <w:rsid w:val="000A1560"/>
    <w:rsid w:val="000A3D0B"/>
    <w:rsid w:val="000A6357"/>
    <w:rsid w:val="000C4F2C"/>
    <w:rsid w:val="000D609E"/>
    <w:rsid w:val="000E6C41"/>
    <w:rsid w:val="00100934"/>
    <w:rsid w:val="00100D75"/>
    <w:rsid w:val="00103F48"/>
    <w:rsid w:val="00110A89"/>
    <w:rsid w:val="00113B6C"/>
    <w:rsid w:val="0011735E"/>
    <w:rsid w:val="001173F1"/>
    <w:rsid w:val="00122EA3"/>
    <w:rsid w:val="001235A0"/>
    <w:rsid w:val="001345C2"/>
    <w:rsid w:val="00137C3A"/>
    <w:rsid w:val="00150E43"/>
    <w:rsid w:val="001641E0"/>
    <w:rsid w:val="00172C6E"/>
    <w:rsid w:val="00185133"/>
    <w:rsid w:val="001901A8"/>
    <w:rsid w:val="001940FD"/>
    <w:rsid w:val="00195B14"/>
    <w:rsid w:val="001A2B88"/>
    <w:rsid w:val="001B168B"/>
    <w:rsid w:val="001C12FE"/>
    <w:rsid w:val="001D7AA7"/>
    <w:rsid w:val="001E7F0A"/>
    <w:rsid w:val="001F1E7E"/>
    <w:rsid w:val="002033EA"/>
    <w:rsid w:val="00207E1D"/>
    <w:rsid w:val="002456EB"/>
    <w:rsid w:val="00251E6D"/>
    <w:rsid w:val="00255238"/>
    <w:rsid w:val="0025649B"/>
    <w:rsid w:val="00260569"/>
    <w:rsid w:val="00266920"/>
    <w:rsid w:val="0027083F"/>
    <w:rsid w:val="00271312"/>
    <w:rsid w:val="002776E2"/>
    <w:rsid w:val="002931B8"/>
    <w:rsid w:val="002B0F44"/>
    <w:rsid w:val="002D5174"/>
    <w:rsid w:val="002D5F96"/>
    <w:rsid w:val="002F0612"/>
    <w:rsid w:val="002F3921"/>
    <w:rsid w:val="002F7B95"/>
    <w:rsid w:val="003058BA"/>
    <w:rsid w:val="003077FC"/>
    <w:rsid w:val="003146D0"/>
    <w:rsid w:val="00314DF6"/>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5C9B"/>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25B"/>
    <w:rsid w:val="004E3D75"/>
    <w:rsid w:val="004F3D9B"/>
    <w:rsid w:val="00502C65"/>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9E1"/>
    <w:rsid w:val="006C0D7F"/>
    <w:rsid w:val="006D29C4"/>
    <w:rsid w:val="006D39FC"/>
    <w:rsid w:val="006E0CC5"/>
    <w:rsid w:val="006E59F5"/>
    <w:rsid w:val="006F3CD0"/>
    <w:rsid w:val="00701536"/>
    <w:rsid w:val="0070557B"/>
    <w:rsid w:val="00705FBE"/>
    <w:rsid w:val="00706A1F"/>
    <w:rsid w:val="00715E49"/>
    <w:rsid w:val="007171EB"/>
    <w:rsid w:val="00732487"/>
    <w:rsid w:val="00741566"/>
    <w:rsid w:val="00741A3F"/>
    <w:rsid w:val="00752D0B"/>
    <w:rsid w:val="007555DF"/>
    <w:rsid w:val="00760A93"/>
    <w:rsid w:val="00765711"/>
    <w:rsid w:val="00771A9B"/>
    <w:rsid w:val="00774D0A"/>
    <w:rsid w:val="007848C6"/>
    <w:rsid w:val="007957E6"/>
    <w:rsid w:val="0079745E"/>
    <w:rsid w:val="007A6269"/>
    <w:rsid w:val="007A7B6A"/>
    <w:rsid w:val="007B6CE2"/>
    <w:rsid w:val="007B713B"/>
    <w:rsid w:val="007C71E4"/>
    <w:rsid w:val="007E2632"/>
    <w:rsid w:val="007F0700"/>
    <w:rsid w:val="007F0F5D"/>
    <w:rsid w:val="007F2DDB"/>
    <w:rsid w:val="00805EF0"/>
    <w:rsid w:val="00811C86"/>
    <w:rsid w:val="00815AD9"/>
    <w:rsid w:val="00815F71"/>
    <w:rsid w:val="0082173A"/>
    <w:rsid w:val="008365B7"/>
    <w:rsid w:val="00844F3D"/>
    <w:rsid w:val="008470C8"/>
    <w:rsid w:val="00853484"/>
    <w:rsid w:val="00856594"/>
    <w:rsid w:val="0086415C"/>
    <w:rsid w:val="00875A36"/>
    <w:rsid w:val="008761BF"/>
    <w:rsid w:val="0088758B"/>
    <w:rsid w:val="00892D7A"/>
    <w:rsid w:val="008A182A"/>
    <w:rsid w:val="008A4980"/>
    <w:rsid w:val="008A6EF2"/>
    <w:rsid w:val="008B0F04"/>
    <w:rsid w:val="008B2F4D"/>
    <w:rsid w:val="008C0765"/>
    <w:rsid w:val="008C5530"/>
    <w:rsid w:val="008D1785"/>
    <w:rsid w:val="008D68C1"/>
    <w:rsid w:val="008E08F7"/>
    <w:rsid w:val="008F1DEA"/>
    <w:rsid w:val="008F6B2D"/>
    <w:rsid w:val="0090161C"/>
    <w:rsid w:val="00903675"/>
    <w:rsid w:val="009141EE"/>
    <w:rsid w:val="009227B3"/>
    <w:rsid w:val="0092554B"/>
    <w:rsid w:val="0093140A"/>
    <w:rsid w:val="0093656A"/>
    <w:rsid w:val="009402F4"/>
    <w:rsid w:val="009539F9"/>
    <w:rsid w:val="00954D94"/>
    <w:rsid w:val="0096050E"/>
    <w:rsid w:val="00975939"/>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5556"/>
    <w:rsid w:val="00AB7274"/>
    <w:rsid w:val="00AC71CD"/>
    <w:rsid w:val="00AC78DC"/>
    <w:rsid w:val="00AD0408"/>
    <w:rsid w:val="00AD2296"/>
    <w:rsid w:val="00AD36C2"/>
    <w:rsid w:val="00AD3936"/>
    <w:rsid w:val="00AE5843"/>
    <w:rsid w:val="00AE62F8"/>
    <w:rsid w:val="00B07EED"/>
    <w:rsid w:val="00B2748E"/>
    <w:rsid w:val="00B27D1D"/>
    <w:rsid w:val="00B303FF"/>
    <w:rsid w:val="00B31FE5"/>
    <w:rsid w:val="00B55795"/>
    <w:rsid w:val="00B609C8"/>
    <w:rsid w:val="00B97651"/>
    <w:rsid w:val="00BA1A5A"/>
    <w:rsid w:val="00BB3D17"/>
    <w:rsid w:val="00BB4C32"/>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B1B72"/>
    <w:rsid w:val="00CC3A39"/>
    <w:rsid w:val="00CC3FAB"/>
    <w:rsid w:val="00CC59C0"/>
    <w:rsid w:val="00CD749B"/>
    <w:rsid w:val="00CF1726"/>
    <w:rsid w:val="00CF423B"/>
    <w:rsid w:val="00D01B68"/>
    <w:rsid w:val="00D214E6"/>
    <w:rsid w:val="00D303A8"/>
    <w:rsid w:val="00D31448"/>
    <w:rsid w:val="00D33F49"/>
    <w:rsid w:val="00D345BA"/>
    <w:rsid w:val="00D40427"/>
    <w:rsid w:val="00D54867"/>
    <w:rsid w:val="00D5537E"/>
    <w:rsid w:val="00D6476A"/>
    <w:rsid w:val="00D65431"/>
    <w:rsid w:val="00D82E14"/>
    <w:rsid w:val="00D918E6"/>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502E0"/>
    <w:rsid w:val="00E62741"/>
    <w:rsid w:val="00E7182E"/>
    <w:rsid w:val="00E809EF"/>
    <w:rsid w:val="00E920E1"/>
    <w:rsid w:val="00EA23B4"/>
    <w:rsid w:val="00EB219E"/>
    <w:rsid w:val="00EB25B7"/>
    <w:rsid w:val="00ED136F"/>
    <w:rsid w:val="00ED39A0"/>
    <w:rsid w:val="00EE5A21"/>
    <w:rsid w:val="00EF37DC"/>
    <w:rsid w:val="00EF4812"/>
    <w:rsid w:val="00F03D8E"/>
    <w:rsid w:val="00F03FB5"/>
    <w:rsid w:val="00F10E89"/>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150E4"/>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12.jpg@01D3598D.087D5A5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5DBF3-D030-4879-B7DC-F8B613B1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61</TotalTime>
  <Pages>11</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13</cp:revision>
  <cp:lastPrinted>2017-08-03T11:38:00Z</cp:lastPrinted>
  <dcterms:created xsi:type="dcterms:W3CDTF">2017-11-13T12:13:00Z</dcterms:created>
  <dcterms:modified xsi:type="dcterms:W3CDTF">2017-11-13T13:25:00Z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13th November 2017</vt:lpwstr>
  </property>
  <property fmtid="{D5CDD505-2E9C-101B-9397-08002B2CF9AE}" pid="5" name="$Bentley Select Release$">
    <vt:lpwstr>exnm04070010en_updt55</vt:lpwstr>
  </property>
  <property fmtid="{D5CDD505-2E9C-101B-9397-08002B2CF9AE}" pid="6" name="$Fix Number$">
    <vt:lpwstr>55</vt:lpwstr>
  </property>
  <property fmtid="{D5CDD505-2E9C-101B-9397-08002B2CF9AE}" pid="7" name="$Install SQL Script$">
    <vt:lpwstr>exnm04070010en_updt55.sql</vt:lpwstr>
  </property>
</Properties>
</file>