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BE28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BE2821">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1</w:t>
      </w: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BE2821">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1 and is specifically targeted at end users.  </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545F1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4.5.0.0 Fix 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General 4.5 fix release (see release notes for details)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nm_4500_fix1.zip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nm_4500_fix1.sql"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extent_fk_cascade.sql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log_nm_4500_fix1.sql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2.9</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nm_4500_fix1.sql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BE2821">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BE2821">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BE28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545F15">
        <w:rPr>
          <w:rFonts w:ascii="Arial" w:hAnsi="Arial" w:cs="Arial"/>
          <w:color w:val="000000"/>
          <w:sz w:val="18"/>
          <w:szCs w:val="18"/>
        </w:rPr>
        <w:t>Bentley</w:t>
      </w:r>
      <w:r>
        <w:rPr>
          <w:rFonts w:ascii="Arial" w:hAnsi="Arial" w:cs="Arial"/>
          <w:color w:val="000000"/>
          <w:sz w:val="18"/>
          <w:szCs w:val="18"/>
        </w:rPr>
        <w:t xml:space="preserve"> Support</w:t>
      </w:r>
    </w:p>
    <w:p w:rsidR="00000000" w:rsidRDefault="00BE28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545F15">
        <w:rPr>
          <w:rFonts w:ascii="Arial" w:hAnsi="Arial" w:cs="Arial"/>
          <w:color w:val="000000"/>
          <w:sz w:val="18"/>
          <w:szCs w:val="18"/>
        </w:rPr>
        <w:t>Bentley</w:t>
      </w:r>
    </w:p>
    <w:p w:rsidR="00000000" w:rsidRDefault="00BE2821">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BE2821">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w:t>
            </w:r>
            <w:r>
              <w:rPr>
                <w:rFonts w:ascii="Calibri" w:hAnsi="Calibri" w:cs="Calibri"/>
                <w:color w:val="000000"/>
                <w:sz w:val="16"/>
                <w:szCs w:val="16"/>
              </w:rPr>
              <w:t xml:space="preserve">asset along the whole circular route - from start to end, then replaced it with a new asset internally within the measures of the route. The two fragments at each end of the circular route were failing to be displayed as two fragments. </w:t>
            </w:r>
            <w:r w:rsidR="00545F15">
              <w:rPr>
                <w:rFonts w:ascii="Calibri" w:hAnsi="Calibri" w:cs="Calibri"/>
                <w:color w:val="000000"/>
                <w:sz w:val="16"/>
                <w:szCs w:val="16"/>
              </w:rPr>
              <w:t>This</w:t>
            </w:r>
            <w:r>
              <w:rPr>
                <w:rFonts w:ascii="Calibri" w:hAnsi="Calibri" w:cs="Calibri"/>
                <w:color w:val="000000"/>
                <w:sz w:val="16"/>
                <w:szCs w:val="16"/>
              </w:rPr>
              <w:t xml:space="preserve"> was due to a fa</w:t>
            </w:r>
            <w:r>
              <w:rPr>
                <w:rFonts w:ascii="Calibri" w:hAnsi="Calibri" w:cs="Calibri"/>
                <w:color w:val="000000"/>
                <w:sz w:val="16"/>
                <w:szCs w:val="16"/>
              </w:rPr>
              <w:t xml:space="preserve">ulty order-by clause which failed to pin down the order - hence the problem did not always </w:t>
            </w:r>
            <w:r w:rsidR="00545F15">
              <w:rPr>
                <w:rFonts w:ascii="Calibri" w:hAnsi="Calibri" w:cs="Calibri"/>
                <w:color w:val="000000"/>
                <w:sz w:val="16"/>
                <w:szCs w:val="16"/>
              </w:rPr>
              <w:t>arise and</w:t>
            </w:r>
            <w:r>
              <w:rPr>
                <w:rFonts w:ascii="Calibri" w:hAnsi="Calibri" w:cs="Calibri"/>
                <w:color w:val="000000"/>
                <w:sz w:val="16"/>
                <w:szCs w:val="16"/>
              </w:rPr>
              <w:t xml:space="preserve"> is very </w:t>
            </w:r>
            <w:r w:rsidR="00545F15">
              <w:rPr>
                <w:rFonts w:ascii="Calibri" w:hAnsi="Calibri" w:cs="Calibri"/>
                <w:color w:val="000000"/>
                <w:sz w:val="16"/>
                <w:szCs w:val="16"/>
              </w:rPr>
              <w:t>difficult</w:t>
            </w:r>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0111438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End-dating of inventory locations would allow completion despite locations in existence after the date of closure. This was due </w:t>
            </w:r>
            <w:r w:rsidR="00545F15">
              <w:rPr>
                <w:rFonts w:ascii="Calibri" w:hAnsi="Calibri" w:cs="Calibri"/>
                <w:color w:val="000000"/>
                <w:sz w:val="16"/>
                <w:szCs w:val="16"/>
              </w:rPr>
              <w:t>to the check being based on th</w:t>
            </w:r>
            <w:r>
              <w:rPr>
                <w:rFonts w:ascii="Calibri" w:hAnsi="Calibri" w:cs="Calibri"/>
                <w:color w:val="000000"/>
                <w:sz w:val="16"/>
                <w:szCs w:val="16"/>
              </w:rPr>
              <w:t>e</w:t>
            </w:r>
            <w:r w:rsidR="00545F15">
              <w:rPr>
                <w:rFonts w:ascii="Calibri" w:hAnsi="Calibri" w:cs="Calibri"/>
                <w:color w:val="000000"/>
                <w:sz w:val="16"/>
                <w:szCs w:val="16"/>
              </w:rPr>
              <w:t xml:space="preserve"> </w:t>
            </w:r>
            <w:r>
              <w:rPr>
                <w:rFonts w:ascii="Calibri" w:hAnsi="Calibri" w:cs="Calibri"/>
                <w:color w:val="000000"/>
                <w:sz w:val="16"/>
                <w:szCs w:val="16"/>
              </w:rPr>
              <w:t>locations of the inventory at the date at which the</w:t>
            </w:r>
            <w:r w:rsidR="00545F15">
              <w:rPr>
                <w:rFonts w:ascii="Calibri" w:hAnsi="Calibri" w:cs="Calibri"/>
                <w:color w:val="000000"/>
                <w:sz w:val="16"/>
                <w:szCs w:val="16"/>
              </w:rPr>
              <w:t xml:space="preserve"> </w:t>
            </w:r>
            <w:r>
              <w:rPr>
                <w:rFonts w:ascii="Calibri" w:hAnsi="Calibri" w:cs="Calibri"/>
                <w:color w:val="000000"/>
                <w:sz w:val="16"/>
                <w:szCs w:val="16"/>
              </w:rPr>
              <w:t>user wished to close it. A better checking pr</w:t>
            </w:r>
            <w:r>
              <w:rPr>
                <w:rFonts w:ascii="Calibri" w:hAnsi="Calibri" w:cs="Calibri"/>
                <w:color w:val="000000"/>
                <w:sz w:val="16"/>
                <w:szCs w:val="16"/>
              </w:rPr>
              <w:t xml:space="preserve">ocess is now included and an exception </w:t>
            </w:r>
            <w:proofErr w:type="gramStart"/>
            <w:r>
              <w:rPr>
                <w:rFonts w:ascii="Calibri" w:hAnsi="Calibri" w:cs="Calibri"/>
                <w:color w:val="000000"/>
                <w:sz w:val="16"/>
                <w:szCs w:val="16"/>
              </w:rPr>
              <w:t>raised</w:t>
            </w:r>
            <w:proofErr w:type="gramEnd"/>
            <w:r>
              <w:rPr>
                <w:rFonts w:ascii="Calibri" w:hAnsi="Calibri" w:cs="Calibri"/>
                <w:color w:val="000000"/>
                <w:sz w:val="16"/>
                <w:szCs w:val="16"/>
              </w:rPr>
              <w:t xml:space="preserve"> if the </w:t>
            </w:r>
            <w:r w:rsidR="00545F15">
              <w:rPr>
                <w:rFonts w:ascii="Calibri" w:hAnsi="Calibri" w:cs="Calibri"/>
                <w:color w:val="000000"/>
                <w:sz w:val="16"/>
                <w:szCs w:val="16"/>
              </w:rPr>
              <w:t>locations</w:t>
            </w:r>
            <w:r>
              <w:rPr>
                <w:rFonts w:ascii="Calibri" w:hAnsi="Calibri" w:cs="Calibri"/>
                <w:color w:val="000000"/>
                <w:sz w:val="16"/>
                <w:szCs w:val="16"/>
              </w:rPr>
              <w:t xml:space="preserve"> cannot be closed.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8001172067</w:t>
            </w:r>
          </w:p>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BE28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r w:rsidR="00545F15">
              <w:rPr>
                <w:rFonts w:ascii="Calibri" w:hAnsi="Calibri" w:cs="Calibri"/>
                <w:color w:val="000000"/>
                <w:sz w:val="16"/>
                <w:szCs w:val="16"/>
              </w:rPr>
              <w:t>hierarchy</w:t>
            </w:r>
            <w:r>
              <w:rPr>
                <w:rFonts w:ascii="Calibri" w:hAnsi="Calibri" w:cs="Calibri"/>
                <w:color w:val="000000"/>
                <w:sz w:val="16"/>
                <w:szCs w:val="16"/>
              </w:rPr>
              <w:t xml:space="preserve"> and APIs exist to remove any one of the three tiers of data. SM only plugs into two of the three APIs allowing the removal of the extent or </w:t>
            </w:r>
            <w:r>
              <w:rPr>
                <w:rFonts w:ascii="Calibri" w:hAnsi="Calibri" w:cs="Calibri"/>
                <w:color w:val="000000"/>
                <w:sz w:val="16"/>
                <w:szCs w:val="16"/>
              </w:rPr>
              <w:t xml:space="preserve">the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To </w:t>
            </w:r>
            <w:proofErr w:type="spellStart"/>
            <w:r>
              <w:rPr>
                <w:rFonts w:ascii="Calibri" w:hAnsi="Calibri" w:cs="Calibri"/>
                <w:color w:val="000000"/>
                <w:sz w:val="16"/>
                <w:szCs w:val="16"/>
              </w:rPr>
              <w:t>minimise</w:t>
            </w:r>
            <w:proofErr w:type="spellEnd"/>
            <w:r>
              <w:rPr>
                <w:rFonts w:ascii="Calibri" w:hAnsi="Calibri" w:cs="Calibri"/>
                <w:color w:val="000000"/>
                <w:sz w:val="16"/>
                <w:szCs w:val="16"/>
              </w:rPr>
              <w:t xml:space="preserv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were disabled but on many </w:t>
            </w:r>
            <w:r>
              <w:rPr>
                <w:rFonts w:ascii="Calibri" w:hAnsi="Calibri" w:cs="Calibri"/>
                <w:color w:val="000000"/>
                <w:sz w:val="16"/>
                <w:szCs w:val="16"/>
              </w:rPr>
              <w:t xml:space="preserve">cases inadvertently enabled on customer sites. The script executes a </w:t>
            </w:r>
            <w:r w:rsidR="00545F15">
              <w:rPr>
                <w:rFonts w:ascii="Calibri" w:hAnsi="Calibri" w:cs="Calibri"/>
                <w:color w:val="000000"/>
                <w:sz w:val="16"/>
                <w:szCs w:val="16"/>
              </w:rPr>
              <w:t>cleanup</w:t>
            </w:r>
            <w:r>
              <w:rPr>
                <w:rFonts w:ascii="Calibri" w:hAnsi="Calibri" w:cs="Calibri"/>
                <w:color w:val="000000"/>
                <w:sz w:val="16"/>
                <w:szCs w:val="16"/>
              </w:rPr>
              <w:t xml:space="preserve"> - removing all orphan member and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BE28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bl>
    <w:p w:rsidR="00BE2821" w:rsidRDefault="00BE2821">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BE2821">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21" w:rsidRDefault="00BE2821">
      <w:pPr>
        <w:spacing w:after="0" w:line="240" w:lineRule="auto"/>
      </w:pPr>
      <w:r>
        <w:separator/>
      </w:r>
    </w:p>
  </w:endnote>
  <w:endnote w:type="continuationSeparator" w:id="0">
    <w:p w:rsidR="00BE2821" w:rsidRDefault="00BE2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E2821">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545F15">
      <w:rPr>
        <w:rFonts w:ascii="Arial" w:hAnsi="Arial" w:cs="Arial"/>
        <w:color w:val="000000"/>
        <w:sz w:val="14"/>
        <w:szCs w:val="14"/>
      </w:rPr>
      <w:t>2012 Bentley</w:t>
    </w:r>
    <w:r>
      <w:rPr>
        <w:rFonts w:ascii="Arial" w:hAnsi="Arial" w:cs="Arial"/>
        <w:color w:val="000000"/>
        <w:sz w:val="14"/>
        <w:szCs w:val="14"/>
      </w:rPr>
      <w:t xml:space="preserve"> </w:t>
    </w:r>
    <w:r w:rsidR="00545F15">
      <w:rPr>
        <w:rFonts w:ascii="Arial" w:hAnsi="Arial" w:cs="Arial"/>
        <w:color w:val="000000"/>
        <w:sz w:val="14"/>
        <w:szCs w:val="14"/>
      </w:rPr>
      <w:t>Systems Incorporated.</w:t>
    </w:r>
    <w:r>
      <w:rPr>
        <w:rFonts w:ascii="Arial" w:hAnsi="Arial" w:cs="Arial"/>
        <w:color w:val="000000"/>
        <w:sz w:val="14"/>
        <w:szCs w:val="14"/>
      </w:rPr>
      <w:t xml:space="preserve"> </w:t>
    </w:r>
    <w:r w:rsidR="00545F15">
      <w:rPr>
        <w:rFonts w:ascii="Arial" w:hAnsi="Arial" w:cs="Arial"/>
        <w:color w:val="000000"/>
        <w:sz w:val="14"/>
        <w:szCs w:val="14"/>
      </w:rPr>
      <w:t xml:space="preserve"> </w:t>
    </w:r>
    <w:r>
      <w:rPr>
        <w:rFonts w:ascii="Arial" w:hAnsi="Arial" w:cs="Arial"/>
        <w:color w:val="000000"/>
        <w:sz w:val="14"/>
        <w:szCs w:val="14"/>
      </w:rPr>
      <w:t>All rights reserved</w:t>
    </w:r>
    <w:r w:rsidR="00545F15">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1646E3">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21" w:rsidRDefault="00BE2821">
      <w:pPr>
        <w:spacing w:after="0" w:line="240" w:lineRule="auto"/>
      </w:pPr>
      <w:r>
        <w:separator/>
      </w:r>
    </w:p>
  </w:footnote>
  <w:footnote w:type="continuationSeparator" w:id="0">
    <w:p w:rsidR="00BE2821" w:rsidRDefault="00BE28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545F15"/>
    <w:rsid w:val="001646E3"/>
    <w:rsid w:val="00545F15"/>
    <w:rsid w:val="00BE2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F15"/>
    <w:pPr>
      <w:tabs>
        <w:tab w:val="center" w:pos="4680"/>
        <w:tab w:val="right" w:pos="9360"/>
      </w:tabs>
    </w:pPr>
  </w:style>
  <w:style w:type="character" w:customStyle="1" w:styleId="HeaderChar">
    <w:name w:val="Header Char"/>
    <w:basedOn w:val="DefaultParagraphFont"/>
    <w:link w:val="Header"/>
    <w:uiPriority w:val="99"/>
    <w:semiHidden/>
    <w:rsid w:val="00545F15"/>
  </w:style>
  <w:style w:type="paragraph" w:styleId="Footer">
    <w:name w:val="footer"/>
    <w:basedOn w:val="Normal"/>
    <w:link w:val="FooterChar"/>
    <w:uiPriority w:val="99"/>
    <w:semiHidden/>
    <w:unhideWhenUsed/>
    <w:rsid w:val="00545F15"/>
    <w:pPr>
      <w:tabs>
        <w:tab w:val="center" w:pos="4680"/>
        <w:tab w:val="right" w:pos="9360"/>
      </w:tabs>
    </w:pPr>
  </w:style>
  <w:style w:type="character" w:customStyle="1" w:styleId="FooterChar">
    <w:name w:val="Footer Char"/>
    <w:basedOn w:val="DefaultParagraphFont"/>
    <w:link w:val="Footer"/>
    <w:uiPriority w:val="99"/>
    <w:semiHidden/>
    <w:rsid w:val="00545F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2012-03-02T09:27:00Z</dcterms:created>
  <dcterms:modified xsi:type="dcterms:W3CDTF">2012-03-02T09:27:00Z</dcterms:modified>
</cp:coreProperties>
</file>