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C22751"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17DD4447" wp14:editId="1E910B1F">
            <wp:extent cx="2236700"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92" cy="563430"/>
                    </a:xfrm>
                    <a:prstGeom prst="rect">
                      <a:avLst/>
                    </a:prstGeom>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C22751">
            <w:rPr>
              <w:b/>
              <w:sz w:val="28"/>
              <w:szCs w:val="28"/>
              <w:lang w:val="en-GB"/>
            </w:rPr>
            <w:t>4</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456604" w:rsidP="00396D2A">
            <w:pPr>
              <w:ind w:left="0"/>
              <w:jc w:val="center"/>
              <w:rPr>
                <w:sz w:val="20"/>
                <w:szCs w:val="20"/>
              </w:rPr>
            </w:pPr>
            <w:r>
              <w:rPr>
                <w:sz w:val="20"/>
                <w:szCs w:val="20"/>
              </w:rPr>
              <w:t>1.1</w:t>
            </w:r>
          </w:p>
        </w:tc>
        <w:tc>
          <w:tcPr>
            <w:tcW w:w="2409" w:type="dxa"/>
          </w:tcPr>
          <w:p w:rsidR="00396D2A" w:rsidRPr="0039509B" w:rsidRDefault="00456604" w:rsidP="00396D2A">
            <w:pPr>
              <w:ind w:left="0"/>
              <w:jc w:val="center"/>
              <w:rPr>
                <w:sz w:val="20"/>
                <w:szCs w:val="20"/>
              </w:rPr>
            </w:pPr>
            <w:r>
              <w:rPr>
                <w:sz w:val="20"/>
                <w:szCs w:val="20"/>
              </w:rPr>
              <w:t>Mike Huitson</w:t>
            </w:r>
          </w:p>
        </w:tc>
        <w:tc>
          <w:tcPr>
            <w:tcW w:w="1843" w:type="dxa"/>
          </w:tcPr>
          <w:p w:rsidR="00396D2A" w:rsidRPr="0039509B" w:rsidRDefault="00456604" w:rsidP="00396D2A">
            <w:pPr>
              <w:ind w:left="0"/>
              <w:jc w:val="center"/>
              <w:rPr>
                <w:sz w:val="20"/>
                <w:szCs w:val="20"/>
              </w:rPr>
            </w:pPr>
            <w:r>
              <w:rPr>
                <w:sz w:val="20"/>
                <w:szCs w:val="20"/>
              </w:rPr>
              <w:t>11-Oct-2016</w:t>
            </w:r>
          </w:p>
        </w:tc>
        <w:tc>
          <w:tcPr>
            <w:tcW w:w="3969" w:type="dxa"/>
          </w:tcPr>
          <w:p w:rsidR="00D5471D" w:rsidRPr="0039509B" w:rsidRDefault="00456604" w:rsidP="00B20F41">
            <w:pPr>
              <w:ind w:left="0"/>
              <w:rPr>
                <w:sz w:val="20"/>
                <w:szCs w:val="20"/>
              </w:rPr>
            </w:pPr>
            <w:r>
              <w:rPr>
                <w:sz w:val="20"/>
                <w:szCs w:val="20"/>
              </w:rPr>
              <w:t>Updated for build 4.7.2.2</w:t>
            </w:r>
          </w:p>
        </w:tc>
      </w:tr>
      <w:tr w:rsidR="00BA6CB9" w:rsidRPr="0039509B" w:rsidTr="009E6CFF">
        <w:tc>
          <w:tcPr>
            <w:tcW w:w="1101" w:type="dxa"/>
          </w:tcPr>
          <w:p w:rsidR="00BA6CB9" w:rsidRPr="0039509B" w:rsidRDefault="00B8126A" w:rsidP="00396D2A">
            <w:pPr>
              <w:ind w:left="0"/>
              <w:jc w:val="center"/>
              <w:rPr>
                <w:sz w:val="20"/>
                <w:szCs w:val="20"/>
              </w:rPr>
            </w:pPr>
            <w:r>
              <w:rPr>
                <w:sz w:val="20"/>
                <w:szCs w:val="20"/>
              </w:rPr>
              <w:t>1.2</w:t>
            </w:r>
          </w:p>
        </w:tc>
        <w:tc>
          <w:tcPr>
            <w:tcW w:w="2409" w:type="dxa"/>
          </w:tcPr>
          <w:p w:rsidR="00BA6CB9" w:rsidRPr="0039509B" w:rsidRDefault="00B8126A" w:rsidP="00396D2A">
            <w:pPr>
              <w:ind w:left="0"/>
              <w:jc w:val="center"/>
              <w:rPr>
                <w:sz w:val="20"/>
                <w:szCs w:val="20"/>
              </w:rPr>
            </w:pPr>
            <w:r>
              <w:rPr>
                <w:sz w:val="20"/>
                <w:szCs w:val="20"/>
              </w:rPr>
              <w:t>Mike Huitson</w:t>
            </w:r>
          </w:p>
        </w:tc>
        <w:tc>
          <w:tcPr>
            <w:tcW w:w="1843" w:type="dxa"/>
          </w:tcPr>
          <w:p w:rsidR="00BA6CB9" w:rsidRPr="0039509B" w:rsidRDefault="00B8126A" w:rsidP="00396D2A">
            <w:pPr>
              <w:ind w:left="0"/>
              <w:jc w:val="center"/>
              <w:rPr>
                <w:sz w:val="20"/>
                <w:szCs w:val="20"/>
              </w:rPr>
            </w:pPr>
            <w:r>
              <w:rPr>
                <w:sz w:val="20"/>
                <w:szCs w:val="20"/>
              </w:rPr>
              <w:t>30-Jun-2017</w:t>
            </w:r>
          </w:p>
        </w:tc>
        <w:tc>
          <w:tcPr>
            <w:tcW w:w="3969" w:type="dxa"/>
          </w:tcPr>
          <w:p w:rsidR="00BA6CB9" w:rsidRPr="0039509B" w:rsidRDefault="00B8126A" w:rsidP="00341119">
            <w:pPr>
              <w:ind w:left="0"/>
              <w:rPr>
                <w:sz w:val="20"/>
                <w:szCs w:val="20"/>
              </w:rPr>
            </w:pPr>
            <w:r>
              <w:rPr>
                <w:sz w:val="20"/>
                <w:szCs w:val="20"/>
              </w:rPr>
              <w:t>Updated for build 4.7.2.3</w:t>
            </w:r>
          </w:p>
        </w:tc>
      </w:tr>
      <w:tr w:rsidR="009C54A2" w:rsidRPr="0039509B" w:rsidTr="009E6CFF">
        <w:tc>
          <w:tcPr>
            <w:tcW w:w="1101" w:type="dxa"/>
          </w:tcPr>
          <w:p w:rsidR="009C54A2" w:rsidRPr="0039509B" w:rsidRDefault="008A02DD" w:rsidP="00396D2A">
            <w:pPr>
              <w:ind w:left="0"/>
              <w:jc w:val="center"/>
              <w:rPr>
                <w:sz w:val="20"/>
                <w:szCs w:val="20"/>
              </w:rPr>
            </w:pPr>
            <w:r>
              <w:rPr>
                <w:sz w:val="20"/>
                <w:szCs w:val="20"/>
              </w:rPr>
              <w:t>1.3</w:t>
            </w:r>
          </w:p>
        </w:tc>
        <w:tc>
          <w:tcPr>
            <w:tcW w:w="2409" w:type="dxa"/>
          </w:tcPr>
          <w:p w:rsidR="009C54A2" w:rsidRPr="0039509B" w:rsidRDefault="008A02DD" w:rsidP="00396D2A">
            <w:pPr>
              <w:ind w:left="0"/>
              <w:jc w:val="center"/>
              <w:rPr>
                <w:sz w:val="20"/>
                <w:szCs w:val="20"/>
              </w:rPr>
            </w:pPr>
            <w:r>
              <w:rPr>
                <w:sz w:val="20"/>
                <w:szCs w:val="20"/>
              </w:rPr>
              <w:t>Mike Huitson</w:t>
            </w:r>
          </w:p>
        </w:tc>
        <w:tc>
          <w:tcPr>
            <w:tcW w:w="1843" w:type="dxa"/>
          </w:tcPr>
          <w:p w:rsidR="009C54A2" w:rsidRPr="0039509B" w:rsidRDefault="008A02DD" w:rsidP="00396D2A">
            <w:pPr>
              <w:ind w:left="0"/>
              <w:jc w:val="center"/>
              <w:rPr>
                <w:sz w:val="20"/>
                <w:szCs w:val="20"/>
              </w:rPr>
            </w:pPr>
            <w:r>
              <w:rPr>
                <w:sz w:val="20"/>
                <w:szCs w:val="20"/>
              </w:rPr>
              <w:t>19-Jul-2017</w:t>
            </w:r>
          </w:p>
        </w:tc>
        <w:tc>
          <w:tcPr>
            <w:tcW w:w="3969" w:type="dxa"/>
          </w:tcPr>
          <w:p w:rsidR="009C54A2" w:rsidRPr="0039509B" w:rsidRDefault="008A02DD">
            <w:pPr>
              <w:ind w:left="0"/>
              <w:rPr>
                <w:sz w:val="20"/>
                <w:szCs w:val="20"/>
              </w:rPr>
            </w:pPr>
            <w:r>
              <w:rPr>
                <w:sz w:val="20"/>
                <w:szCs w:val="20"/>
              </w:rPr>
              <w:t>Updated for build 4.7.2.5</w:t>
            </w:r>
          </w:p>
        </w:tc>
      </w:tr>
      <w:tr w:rsidR="00E87DE5" w:rsidRPr="0039509B" w:rsidTr="009E6CFF">
        <w:tc>
          <w:tcPr>
            <w:tcW w:w="1101" w:type="dxa"/>
          </w:tcPr>
          <w:p w:rsidR="00E87DE5" w:rsidRPr="0039509B" w:rsidRDefault="00C22751" w:rsidP="00396D2A">
            <w:pPr>
              <w:ind w:left="0"/>
              <w:jc w:val="center"/>
              <w:rPr>
                <w:sz w:val="20"/>
                <w:szCs w:val="20"/>
              </w:rPr>
            </w:pPr>
            <w:r>
              <w:rPr>
                <w:sz w:val="20"/>
                <w:szCs w:val="20"/>
              </w:rPr>
              <w:t>1.4</w:t>
            </w:r>
          </w:p>
        </w:tc>
        <w:tc>
          <w:tcPr>
            <w:tcW w:w="2409" w:type="dxa"/>
          </w:tcPr>
          <w:p w:rsidR="00E87DE5" w:rsidRPr="0039509B" w:rsidRDefault="00C22751" w:rsidP="00396D2A">
            <w:pPr>
              <w:ind w:left="0"/>
              <w:jc w:val="center"/>
              <w:rPr>
                <w:sz w:val="20"/>
                <w:szCs w:val="20"/>
              </w:rPr>
            </w:pPr>
            <w:r>
              <w:rPr>
                <w:sz w:val="20"/>
                <w:szCs w:val="20"/>
              </w:rPr>
              <w:t>Mike Huitson</w:t>
            </w:r>
          </w:p>
        </w:tc>
        <w:tc>
          <w:tcPr>
            <w:tcW w:w="1843" w:type="dxa"/>
          </w:tcPr>
          <w:p w:rsidR="00E87DE5" w:rsidRPr="0039509B" w:rsidRDefault="00C22751" w:rsidP="00396D2A">
            <w:pPr>
              <w:ind w:left="0"/>
              <w:jc w:val="center"/>
              <w:rPr>
                <w:sz w:val="20"/>
                <w:szCs w:val="20"/>
              </w:rPr>
            </w:pPr>
            <w:r>
              <w:rPr>
                <w:sz w:val="20"/>
                <w:szCs w:val="20"/>
              </w:rPr>
              <w:t>04-Aug-2017</w:t>
            </w:r>
          </w:p>
        </w:tc>
        <w:tc>
          <w:tcPr>
            <w:tcW w:w="3969" w:type="dxa"/>
          </w:tcPr>
          <w:p w:rsidR="00BB4379" w:rsidRPr="0039509B" w:rsidRDefault="00C22751" w:rsidP="00B04DAD">
            <w:pPr>
              <w:ind w:left="0"/>
              <w:rPr>
                <w:sz w:val="20"/>
                <w:szCs w:val="20"/>
              </w:rPr>
            </w:pPr>
            <w:r>
              <w:rPr>
                <w:sz w:val="20"/>
                <w:szCs w:val="20"/>
              </w:rPr>
              <w:t>Updated for build 4.7.2.6</w:t>
            </w: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641095">
        <w:rPr>
          <w:noProof/>
        </w:rPr>
        <w:t>04-Aug-2017 11:13 AM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8A02DD"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88246889" w:history="1">
        <w:r w:rsidR="008A02DD" w:rsidRPr="00D543D8">
          <w:rPr>
            <w:rStyle w:val="Hyperlink"/>
          </w:rPr>
          <w:t>1</w:t>
        </w:r>
        <w:r w:rsidR="008A02DD">
          <w:rPr>
            <w:rFonts w:asciiTheme="minorHAnsi" w:eastAsiaTheme="minorEastAsia" w:hAnsiTheme="minorHAnsi"/>
            <w:b w:val="0"/>
            <w:iCs w:val="0"/>
            <w:szCs w:val="22"/>
            <w:lang w:val="en-GB" w:eastAsia="en-GB" w:bidi="ar-SA"/>
          </w:rPr>
          <w:tab/>
        </w:r>
        <w:r w:rsidR="008A02DD" w:rsidRPr="00D543D8">
          <w:rPr>
            <w:rStyle w:val="Hyperlink"/>
          </w:rPr>
          <w:t>Introduction</w:t>
        </w:r>
        <w:r w:rsidR="008A02DD">
          <w:rPr>
            <w:webHidden/>
          </w:rPr>
          <w:tab/>
        </w:r>
        <w:r w:rsidR="008A02DD">
          <w:rPr>
            <w:webHidden/>
          </w:rPr>
          <w:fldChar w:fldCharType="begin"/>
        </w:r>
        <w:r w:rsidR="008A02DD">
          <w:rPr>
            <w:webHidden/>
          </w:rPr>
          <w:instrText xml:space="preserve"> PAGEREF _Toc488246889 \h </w:instrText>
        </w:r>
        <w:r w:rsidR="008A02DD">
          <w:rPr>
            <w:webHidden/>
          </w:rPr>
        </w:r>
        <w:r w:rsidR="008A02DD">
          <w:rPr>
            <w:webHidden/>
          </w:rPr>
          <w:fldChar w:fldCharType="separate"/>
        </w:r>
        <w:r w:rsidR="00641095">
          <w:rPr>
            <w:webHidden/>
          </w:rPr>
          <w:t>4</w:t>
        </w:r>
        <w:r w:rsidR="008A02DD">
          <w:rPr>
            <w:webHidden/>
          </w:rPr>
          <w:fldChar w:fldCharType="end"/>
        </w:r>
      </w:hyperlink>
    </w:p>
    <w:p w:rsidR="008A02DD" w:rsidRDefault="002563AB">
      <w:pPr>
        <w:pStyle w:val="TOC2"/>
        <w:rPr>
          <w:rFonts w:asciiTheme="minorHAnsi" w:eastAsiaTheme="minorEastAsia" w:hAnsiTheme="minorHAnsi"/>
          <w:iCs w:val="0"/>
          <w:szCs w:val="22"/>
          <w:lang w:val="en-GB" w:eastAsia="en-GB" w:bidi="ar-SA"/>
        </w:rPr>
      </w:pPr>
      <w:hyperlink w:anchor="_Toc488246890" w:history="1">
        <w:r w:rsidR="008A02DD" w:rsidRPr="00D543D8">
          <w:rPr>
            <w:rStyle w:val="Hyperlink"/>
          </w:rPr>
          <w:t>1.1</w:t>
        </w:r>
        <w:r w:rsidR="008A02DD">
          <w:rPr>
            <w:rFonts w:asciiTheme="minorHAnsi" w:eastAsiaTheme="minorEastAsia" w:hAnsiTheme="minorHAnsi"/>
            <w:iCs w:val="0"/>
            <w:szCs w:val="22"/>
            <w:lang w:val="en-GB" w:eastAsia="en-GB" w:bidi="ar-SA"/>
          </w:rPr>
          <w:tab/>
        </w:r>
        <w:r w:rsidR="008A02DD" w:rsidRPr="00D543D8">
          <w:rPr>
            <w:rStyle w:val="Hyperlink"/>
          </w:rPr>
          <w:t>Prerequisites</w:t>
        </w:r>
        <w:r w:rsidR="008A02DD">
          <w:rPr>
            <w:webHidden/>
          </w:rPr>
          <w:tab/>
        </w:r>
        <w:r w:rsidR="008A02DD">
          <w:rPr>
            <w:webHidden/>
          </w:rPr>
          <w:fldChar w:fldCharType="begin"/>
        </w:r>
        <w:r w:rsidR="008A02DD">
          <w:rPr>
            <w:webHidden/>
          </w:rPr>
          <w:instrText xml:space="preserve"> PAGEREF _Toc488246890 \h </w:instrText>
        </w:r>
        <w:r w:rsidR="008A02DD">
          <w:rPr>
            <w:webHidden/>
          </w:rPr>
        </w:r>
        <w:r w:rsidR="008A02DD">
          <w:rPr>
            <w:webHidden/>
          </w:rPr>
          <w:fldChar w:fldCharType="separate"/>
        </w:r>
        <w:r w:rsidR="00641095">
          <w:rPr>
            <w:webHidden/>
          </w:rPr>
          <w:t>4</w:t>
        </w:r>
        <w:r w:rsidR="008A02DD">
          <w:rPr>
            <w:webHidden/>
          </w:rPr>
          <w:fldChar w:fldCharType="end"/>
        </w:r>
      </w:hyperlink>
    </w:p>
    <w:p w:rsidR="008A02DD" w:rsidRDefault="002563AB">
      <w:pPr>
        <w:pStyle w:val="TOC1"/>
        <w:rPr>
          <w:rFonts w:asciiTheme="minorHAnsi" w:eastAsiaTheme="minorEastAsia" w:hAnsiTheme="minorHAnsi"/>
          <w:b w:val="0"/>
          <w:iCs w:val="0"/>
          <w:szCs w:val="22"/>
          <w:lang w:val="en-GB" w:eastAsia="en-GB" w:bidi="ar-SA"/>
        </w:rPr>
      </w:pPr>
      <w:hyperlink w:anchor="_Toc488246891" w:history="1">
        <w:r w:rsidR="008A02DD" w:rsidRPr="00D543D8">
          <w:rPr>
            <w:rStyle w:val="Hyperlink"/>
          </w:rPr>
          <w:t>2</w:t>
        </w:r>
        <w:r w:rsidR="008A02DD">
          <w:rPr>
            <w:rFonts w:asciiTheme="minorHAnsi" w:eastAsiaTheme="minorEastAsia" w:hAnsiTheme="minorHAnsi"/>
            <w:b w:val="0"/>
            <w:iCs w:val="0"/>
            <w:szCs w:val="22"/>
            <w:lang w:val="en-GB" w:eastAsia="en-GB" w:bidi="ar-SA"/>
          </w:rPr>
          <w:tab/>
        </w:r>
        <w:r w:rsidR="008A02DD" w:rsidRPr="00D543D8">
          <w:rPr>
            <w:rStyle w:val="Hyperlink"/>
          </w:rPr>
          <w:t>Database Install</w:t>
        </w:r>
        <w:r w:rsidR="008A02DD">
          <w:rPr>
            <w:webHidden/>
          </w:rPr>
          <w:tab/>
        </w:r>
        <w:r w:rsidR="008A02DD">
          <w:rPr>
            <w:webHidden/>
          </w:rPr>
          <w:fldChar w:fldCharType="begin"/>
        </w:r>
        <w:r w:rsidR="008A02DD">
          <w:rPr>
            <w:webHidden/>
          </w:rPr>
          <w:instrText xml:space="preserve"> PAGEREF _Toc488246891 \h </w:instrText>
        </w:r>
        <w:r w:rsidR="008A02DD">
          <w:rPr>
            <w:webHidden/>
          </w:rPr>
        </w:r>
        <w:r w:rsidR="008A02DD">
          <w:rPr>
            <w:webHidden/>
          </w:rPr>
          <w:fldChar w:fldCharType="separate"/>
        </w:r>
        <w:r w:rsidR="00641095">
          <w:rPr>
            <w:webHidden/>
          </w:rPr>
          <w:t>5</w:t>
        </w:r>
        <w:r w:rsidR="008A02DD">
          <w:rPr>
            <w:webHidden/>
          </w:rPr>
          <w:fldChar w:fldCharType="end"/>
        </w:r>
      </w:hyperlink>
    </w:p>
    <w:p w:rsidR="008A02DD" w:rsidRDefault="002563AB">
      <w:pPr>
        <w:pStyle w:val="TOC1"/>
        <w:rPr>
          <w:rFonts w:asciiTheme="minorHAnsi" w:eastAsiaTheme="minorEastAsia" w:hAnsiTheme="minorHAnsi"/>
          <w:b w:val="0"/>
          <w:iCs w:val="0"/>
          <w:szCs w:val="22"/>
          <w:lang w:val="en-GB" w:eastAsia="en-GB" w:bidi="ar-SA"/>
        </w:rPr>
      </w:pPr>
      <w:hyperlink w:anchor="_Toc488246892" w:history="1">
        <w:r w:rsidR="008A02DD" w:rsidRPr="00D543D8">
          <w:rPr>
            <w:rStyle w:val="Hyperlink"/>
          </w:rPr>
          <w:t>3</w:t>
        </w:r>
        <w:r w:rsidR="008A02DD">
          <w:rPr>
            <w:rFonts w:asciiTheme="minorHAnsi" w:eastAsiaTheme="minorEastAsia" w:hAnsiTheme="minorHAnsi"/>
            <w:b w:val="0"/>
            <w:iCs w:val="0"/>
            <w:szCs w:val="22"/>
            <w:lang w:val="en-GB" w:eastAsia="en-GB" w:bidi="ar-SA"/>
          </w:rPr>
          <w:tab/>
        </w:r>
        <w:r w:rsidR="008A02DD" w:rsidRPr="00D543D8">
          <w:rPr>
            <w:rStyle w:val="Hyperlink"/>
          </w:rPr>
          <w:t>Configuration</w:t>
        </w:r>
        <w:r w:rsidR="008A02DD">
          <w:rPr>
            <w:webHidden/>
          </w:rPr>
          <w:tab/>
        </w:r>
        <w:r w:rsidR="008A02DD">
          <w:rPr>
            <w:webHidden/>
          </w:rPr>
          <w:fldChar w:fldCharType="begin"/>
        </w:r>
        <w:r w:rsidR="008A02DD">
          <w:rPr>
            <w:webHidden/>
          </w:rPr>
          <w:instrText xml:space="preserve"> PAGEREF _Toc488246892 \h </w:instrText>
        </w:r>
        <w:r w:rsidR="008A02DD">
          <w:rPr>
            <w:webHidden/>
          </w:rPr>
        </w:r>
        <w:r w:rsidR="008A02DD">
          <w:rPr>
            <w:webHidden/>
          </w:rPr>
          <w:fldChar w:fldCharType="separate"/>
        </w:r>
        <w:r w:rsidR="00641095">
          <w:rPr>
            <w:webHidden/>
          </w:rPr>
          <w:t>6</w:t>
        </w:r>
        <w:r w:rsidR="008A02DD">
          <w:rPr>
            <w:webHidden/>
          </w:rPr>
          <w:fldChar w:fldCharType="end"/>
        </w:r>
      </w:hyperlink>
    </w:p>
    <w:p w:rsidR="008A02DD" w:rsidRDefault="002563AB">
      <w:pPr>
        <w:pStyle w:val="TOC2"/>
        <w:rPr>
          <w:rFonts w:asciiTheme="minorHAnsi" w:eastAsiaTheme="minorEastAsia" w:hAnsiTheme="minorHAnsi"/>
          <w:iCs w:val="0"/>
          <w:szCs w:val="22"/>
          <w:lang w:val="en-GB" w:eastAsia="en-GB" w:bidi="ar-SA"/>
        </w:rPr>
      </w:pPr>
      <w:hyperlink w:anchor="_Toc488246893" w:history="1">
        <w:r w:rsidR="008A02DD" w:rsidRPr="00D543D8">
          <w:rPr>
            <w:rStyle w:val="Hyperlink"/>
          </w:rPr>
          <w:t>3.1</w:t>
        </w:r>
        <w:r w:rsidR="008A02DD">
          <w:rPr>
            <w:rFonts w:asciiTheme="minorHAnsi" w:eastAsiaTheme="minorEastAsia" w:hAnsiTheme="minorHAnsi"/>
            <w:iCs w:val="0"/>
            <w:szCs w:val="22"/>
            <w:lang w:val="en-GB" w:eastAsia="en-GB" w:bidi="ar-SA"/>
          </w:rPr>
          <w:tab/>
        </w:r>
        <w:r w:rsidR="008A02DD" w:rsidRPr="00D543D8">
          <w:rPr>
            <w:rStyle w:val="Hyperlink"/>
          </w:rPr>
          <w:t>Product Options</w:t>
        </w:r>
        <w:r w:rsidR="008A02DD">
          <w:rPr>
            <w:webHidden/>
          </w:rPr>
          <w:tab/>
        </w:r>
        <w:r w:rsidR="008A02DD">
          <w:rPr>
            <w:webHidden/>
          </w:rPr>
          <w:fldChar w:fldCharType="begin"/>
        </w:r>
        <w:r w:rsidR="008A02DD">
          <w:rPr>
            <w:webHidden/>
          </w:rPr>
          <w:instrText xml:space="preserve"> PAGEREF _Toc488246893 \h </w:instrText>
        </w:r>
        <w:r w:rsidR="008A02DD">
          <w:rPr>
            <w:webHidden/>
          </w:rPr>
        </w:r>
        <w:r w:rsidR="008A02DD">
          <w:rPr>
            <w:webHidden/>
          </w:rPr>
          <w:fldChar w:fldCharType="separate"/>
        </w:r>
        <w:r w:rsidR="00641095">
          <w:rPr>
            <w:webHidden/>
          </w:rPr>
          <w:t>6</w:t>
        </w:r>
        <w:r w:rsidR="008A02DD">
          <w:rPr>
            <w:webHidden/>
          </w:rPr>
          <w:fldChar w:fldCharType="end"/>
        </w:r>
      </w:hyperlink>
    </w:p>
    <w:p w:rsidR="008A02DD" w:rsidRDefault="002563AB">
      <w:pPr>
        <w:pStyle w:val="TOC2"/>
        <w:rPr>
          <w:rFonts w:asciiTheme="minorHAnsi" w:eastAsiaTheme="minorEastAsia" w:hAnsiTheme="minorHAnsi"/>
          <w:iCs w:val="0"/>
          <w:szCs w:val="22"/>
          <w:lang w:val="en-GB" w:eastAsia="en-GB" w:bidi="ar-SA"/>
        </w:rPr>
      </w:pPr>
      <w:hyperlink w:anchor="_Toc488246894" w:history="1">
        <w:r w:rsidR="008A02DD" w:rsidRPr="00D543D8">
          <w:rPr>
            <w:rStyle w:val="Hyperlink"/>
          </w:rPr>
          <w:t>3.2</w:t>
        </w:r>
        <w:r w:rsidR="008A02DD">
          <w:rPr>
            <w:rFonts w:asciiTheme="minorHAnsi" w:eastAsiaTheme="minorEastAsia" w:hAnsiTheme="minorHAnsi"/>
            <w:iCs w:val="0"/>
            <w:szCs w:val="22"/>
            <w:lang w:val="en-GB" w:eastAsia="en-GB" w:bidi="ar-SA"/>
          </w:rPr>
          <w:tab/>
        </w:r>
        <w:r w:rsidR="008A02DD" w:rsidRPr="00D543D8">
          <w:rPr>
            <w:rStyle w:val="Hyperlink"/>
          </w:rPr>
          <w:t>Directory</w:t>
        </w:r>
        <w:r w:rsidR="008A02DD">
          <w:rPr>
            <w:webHidden/>
          </w:rPr>
          <w:tab/>
        </w:r>
        <w:r w:rsidR="008A02DD">
          <w:rPr>
            <w:webHidden/>
          </w:rPr>
          <w:fldChar w:fldCharType="begin"/>
        </w:r>
        <w:r w:rsidR="008A02DD">
          <w:rPr>
            <w:webHidden/>
          </w:rPr>
          <w:instrText xml:space="preserve"> PAGEREF _Toc488246894 \h </w:instrText>
        </w:r>
        <w:r w:rsidR="008A02DD">
          <w:rPr>
            <w:webHidden/>
          </w:rPr>
        </w:r>
        <w:r w:rsidR="008A02DD">
          <w:rPr>
            <w:webHidden/>
          </w:rPr>
          <w:fldChar w:fldCharType="separate"/>
        </w:r>
        <w:r w:rsidR="00641095">
          <w:rPr>
            <w:webHidden/>
          </w:rPr>
          <w:t>7</w:t>
        </w:r>
        <w:r w:rsidR="008A02DD">
          <w:rPr>
            <w:webHidden/>
          </w:rPr>
          <w:fldChar w:fldCharType="end"/>
        </w:r>
      </w:hyperlink>
    </w:p>
    <w:p w:rsidR="008A02DD" w:rsidRDefault="002563AB">
      <w:pPr>
        <w:pStyle w:val="TOC2"/>
        <w:rPr>
          <w:rFonts w:asciiTheme="minorHAnsi" w:eastAsiaTheme="minorEastAsia" w:hAnsiTheme="minorHAnsi"/>
          <w:iCs w:val="0"/>
          <w:szCs w:val="22"/>
          <w:lang w:val="en-GB" w:eastAsia="en-GB" w:bidi="ar-SA"/>
        </w:rPr>
      </w:pPr>
      <w:hyperlink w:anchor="_Toc488246895" w:history="1">
        <w:r w:rsidR="008A02DD" w:rsidRPr="00D543D8">
          <w:rPr>
            <w:rStyle w:val="Hyperlink"/>
          </w:rPr>
          <w:t>3.3</w:t>
        </w:r>
        <w:r w:rsidR="008A02DD">
          <w:rPr>
            <w:rFonts w:asciiTheme="minorHAnsi" w:eastAsiaTheme="minorEastAsia" w:hAnsiTheme="minorHAnsi"/>
            <w:iCs w:val="0"/>
            <w:szCs w:val="22"/>
            <w:lang w:val="en-GB" w:eastAsia="en-GB" w:bidi="ar-SA"/>
          </w:rPr>
          <w:tab/>
        </w:r>
        <w:r w:rsidR="008A02DD" w:rsidRPr="00D543D8">
          <w:rPr>
            <w:rStyle w:val="Hyperlink"/>
          </w:rPr>
          <w:t>FTP Connection</w:t>
        </w:r>
        <w:r w:rsidR="008A02DD">
          <w:rPr>
            <w:webHidden/>
          </w:rPr>
          <w:tab/>
        </w:r>
        <w:r w:rsidR="008A02DD">
          <w:rPr>
            <w:webHidden/>
          </w:rPr>
          <w:fldChar w:fldCharType="begin"/>
        </w:r>
        <w:r w:rsidR="008A02DD">
          <w:rPr>
            <w:webHidden/>
          </w:rPr>
          <w:instrText xml:space="preserve"> PAGEREF _Toc488246895 \h </w:instrText>
        </w:r>
        <w:r w:rsidR="008A02DD">
          <w:rPr>
            <w:webHidden/>
          </w:rPr>
        </w:r>
        <w:r w:rsidR="008A02DD">
          <w:rPr>
            <w:webHidden/>
          </w:rPr>
          <w:fldChar w:fldCharType="separate"/>
        </w:r>
        <w:r w:rsidR="00641095">
          <w:rPr>
            <w:webHidden/>
          </w:rPr>
          <w:t>8</w:t>
        </w:r>
        <w:r w:rsidR="008A02DD">
          <w:rPr>
            <w:webHidden/>
          </w:rPr>
          <w:fldChar w:fldCharType="end"/>
        </w:r>
      </w:hyperlink>
    </w:p>
    <w:p w:rsidR="008A02DD" w:rsidRDefault="002563AB">
      <w:pPr>
        <w:pStyle w:val="TOC2"/>
        <w:rPr>
          <w:rFonts w:asciiTheme="minorHAnsi" w:eastAsiaTheme="minorEastAsia" w:hAnsiTheme="minorHAnsi"/>
          <w:iCs w:val="0"/>
          <w:szCs w:val="22"/>
          <w:lang w:val="en-GB" w:eastAsia="en-GB" w:bidi="ar-SA"/>
        </w:rPr>
      </w:pPr>
      <w:hyperlink w:anchor="_Toc488246896" w:history="1">
        <w:r w:rsidR="008A02DD" w:rsidRPr="00D543D8">
          <w:rPr>
            <w:rStyle w:val="Hyperlink"/>
          </w:rPr>
          <w:t>3.4</w:t>
        </w:r>
        <w:r w:rsidR="008A02DD">
          <w:rPr>
            <w:rFonts w:asciiTheme="minorHAnsi" w:eastAsiaTheme="minorEastAsia" w:hAnsiTheme="minorHAnsi"/>
            <w:iCs w:val="0"/>
            <w:szCs w:val="22"/>
            <w:lang w:val="en-GB" w:eastAsia="en-GB" w:bidi="ar-SA"/>
          </w:rPr>
          <w:tab/>
        </w:r>
        <w:r w:rsidR="008A02DD" w:rsidRPr="00D543D8">
          <w:rPr>
            <w:rStyle w:val="Hyperlink"/>
          </w:rPr>
          <w:t>Process Framework</w:t>
        </w:r>
        <w:r w:rsidR="008A02DD">
          <w:rPr>
            <w:webHidden/>
          </w:rPr>
          <w:tab/>
        </w:r>
        <w:r w:rsidR="008A02DD">
          <w:rPr>
            <w:webHidden/>
          </w:rPr>
          <w:fldChar w:fldCharType="begin"/>
        </w:r>
        <w:r w:rsidR="008A02DD">
          <w:rPr>
            <w:webHidden/>
          </w:rPr>
          <w:instrText xml:space="preserve"> PAGEREF _Toc488246896 \h </w:instrText>
        </w:r>
        <w:r w:rsidR="008A02DD">
          <w:rPr>
            <w:webHidden/>
          </w:rPr>
        </w:r>
        <w:r w:rsidR="008A02DD">
          <w:rPr>
            <w:webHidden/>
          </w:rPr>
          <w:fldChar w:fldCharType="separate"/>
        </w:r>
        <w:r w:rsidR="00641095">
          <w:rPr>
            <w:webHidden/>
          </w:rPr>
          <w:t>9</w:t>
        </w:r>
        <w:r w:rsidR="008A02DD">
          <w:rPr>
            <w:webHidden/>
          </w:rPr>
          <w:fldChar w:fldCharType="end"/>
        </w:r>
      </w:hyperlink>
    </w:p>
    <w:p w:rsidR="008A02DD" w:rsidRDefault="002563AB">
      <w:pPr>
        <w:pStyle w:val="TOC2"/>
        <w:rPr>
          <w:rFonts w:asciiTheme="minorHAnsi" w:eastAsiaTheme="minorEastAsia" w:hAnsiTheme="minorHAnsi"/>
          <w:iCs w:val="0"/>
          <w:szCs w:val="22"/>
          <w:lang w:val="en-GB" w:eastAsia="en-GB" w:bidi="ar-SA"/>
        </w:rPr>
      </w:pPr>
      <w:hyperlink w:anchor="_Toc488246897" w:history="1">
        <w:r w:rsidR="008A02DD" w:rsidRPr="00D543D8">
          <w:rPr>
            <w:rStyle w:val="Hyperlink"/>
          </w:rPr>
          <w:t>3.5</w:t>
        </w:r>
        <w:r w:rsidR="008A02DD">
          <w:rPr>
            <w:rFonts w:asciiTheme="minorHAnsi" w:eastAsiaTheme="minorEastAsia" w:hAnsiTheme="minorHAnsi"/>
            <w:iCs w:val="0"/>
            <w:szCs w:val="22"/>
            <w:lang w:val="en-GB" w:eastAsia="en-GB" w:bidi="ar-SA"/>
          </w:rPr>
          <w:tab/>
        </w:r>
        <w:r w:rsidR="008A02DD" w:rsidRPr="00D543D8">
          <w:rPr>
            <w:rStyle w:val="Hyperlink"/>
          </w:rPr>
          <w:t>File Cleanup</w:t>
        </w:r>
        <w:r w:rsidR="008A02DD">
          <w:rPr>
            <w:webHidden/>
          </w:rPr>
          <w:tab/>
        </w:r>
        <w:r w:rsidR="008A02DD">
          <w:rPr>
            <w:webHidden/>
          </w:rPr>
          <w:fldChar w:fldCharType="begin"/>
        </w:r>
        <w:r w:rsidR="008A02DD">
          <w:rPr>
            <w:webHidden/>
          </w:rPr>
          <w:instrText xml:space="preserve"> PAGEREF _Toc488246897 \h </w:instrText>
        </w:r>
        <w:r w:rsidR="008A02DD">
          <w:rPr>
            <w:webHidden/>
          </w:rPr>
        </w:r>
        <w:r w:rsidR="008A02DD">
          <w:rPr>
            <w:webHidden/>
          </w:rPr>
          <w:fldChar w:fldCharType="separate"/>
        </w:r>
        <w:r w:rsidR="00641095">
          <w:rPr>
            <w:webHidden/>
          </w:rPr>
          <w:t>12</w:t>
        </w:r>
        <w:r w:rsidR="008A02DD">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3"/>
          <w:headerReference w:type="default" r:id="rId14"/>
          <w:footerReference w:type="default" r:id="rId15"/>
          <w:headerReference w:type="first" r:id="rId16"/>
          <w:pgSz w:w="11907" w:h="16840" w:code="9"/>
          <w:pgMar w:top="1440" w:right="1440" w:bottom="567" w:left="1440" w:header="709" w:footer="371" w:gutter="0"/>
          <w:cols w:space="720"/>
          <w:docGrid w:linePitch="360"/>
        </w:sectPr>
      </w:pPr>
      <w:bookmarkStart w:id="0" w:name="Intro"/>
      <w:bookmarkEnd w:id="0"/>
    </w:p>
    <w:p w:rsidR="00D734E6" w:rsidRPr="00CD5DF9" w:rsidRDefault="00D734E6" w:rsidP="00CD5DF9">
      <w:pPr>
        <w:pStyle w:val="Heading1"/>
      </w:pPr>
      <w:bookmarkStart w:id="1" w:name="_Toc128288201"/>
      <w:bookmarkStart w:id="2" w:name="_Toc128288234"/>
      <w:bookmarkStart w:id="3" w:name="_Toc128288276"/>
      <w:bookmarkStart w:id="4" w:name="_Toc128288307"/>
      <w:bookmarkStart w:id="5" w:name="_Toc128288370"/>
      <w:bookmarkStart w:id="6" w:name="_Toc367889454"/>
      <w:bookmarkStart w:id="7" w:name="_Toc432115301"/>
      <w:bookmarkStart w:id="8" w:name="_Toc488246889"/>
      <w:bookmarkEnd w:id="1"/>
      <w:bookmarkEnd w:id="2"/>
      <w:bookmarkEnd w:id="3"/>
      <w:bookmarkEnd w:id="4"/>
      <w:bookmarkEnd w:id="5"/>
      <w:r w:rsidRPr="00CD5DF9">
        <w:lastRenderedPageBreak/>
        <w:t>Introduction</w:t>
      </w:r>
      <w:bookmarkEnd w:id="6"/>
      <w:bookmarkEnd w:id="7"/>
      <w:bookmarkEnd w:id="8"/>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9" w:name="_Toc304817313"/>
      <w:bookmarkStart w:id="10"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1" w:name="_Toc488246890"/>
      <w:r>
        <w:t>Prerequisites</w:t>
      </w:r>
      <w:bookmarkEnd w:id="11"/>
    </w:p>
    <w:p w:rsidR="00D567CB" w:rsidRPr="00D567CB" w:rsidRDefault="00D567CB" w:rsidP="00D567CB">
      <w:pPr>
        <w:ind w:left="0"/>
      </w:pPr>
      <w:r>
        <w:t>This version of the NTIS Interface has been developed to run against the 4.7.2.</w:t>
      </w:r>
      <w:r w:rsidR="00B8126A">
        <w:t>7</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2" w:name="_Toc432115302"/>
      <w:bookmarkEnd w:id="9"/>
      <w:bookmarkEnd w:id="10"/>
    </w:p>
    <w:p w:rsidR="00D567CB" w:rsidRPr="008D6990" w:rsidRDefault="00D567CB" w:rsidP="00D567CB">
      <w:pPr>
        <w:pStyle w:val="Heading1"/>
        <w:rPr>
          <w:b w:val="0"/>
        </w:rPr>
      </w:pPr>
      <w:bookmarkStart w:id="13" w:name="_Toc488246891"/>
      <w:r>
        <w:lastRenderedPageBreak/>
        <w:t>Database Install</w:t>
      </w:r>
      <w:bookmarkStart w:id="14" w:name="_GoBack"/>
      <w:bookmarkEnd w:id="13"/>
      <w:bookmarkEnd w:id="14"/>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C22751" w:rsidRPr="00C22751" w:rsidRDefault="00C22751" w:rsidP="00B1788A">
      <w:pPr>
        <w:ind w:left="0"/>
        <w:rPr>
          <w:b/>
        </w:rPr>
      </w:pPr>
      <w:r w:rsidRPr="00C22751">
        <w:rPr>
          <w:b/>
        </w:rPr>
        <w:t>NB. If the previous build (</w:t>
      </w:r>
      <w:r w:rsidRPr="00C22751">
        <w:rPr>
          <w:b/>
        </w:rPr>
        <w:t>exNEM_NTIS_Interface0407020</w:t>
      </w:r>
      <w:r w:rsidRPr="00C22751">
        <w:rPr>
          <w:b/>
        </w:rPr>
        <w:t>5</w:t>
      </w:r>
      <w:r w:rsidRPr="00C22751">
        <w:rPr>
          <w:b/>
        </w:rPr>
        <w:t>en</w:t>
      </w:r>
      <w:r w:rsidRPr="00C22751">
        <w:rPr>
          <w:b/>
        </w:rPr>
        <w:t>) has been applied and therefore t</w:t>
      </w:r>
      <w:r>
        <w:rPr>
          <w:b/>
        </w:rPr>
        <w:t>his deployment is an upgrade</w:t>
      </w:r>
      <w:r w:rsidRPr="00C22751">
        <w:rPr>
          <w:b/>
        </w:rPr>
        <w:t xml:space="preserve"> steps </w:t>
      </w:r>
      <w:r>
        <w:rPr>
          <w:b/>
        </w:rPr>
        <w:t xml:space="preserve">3 and 4 </w:t>
      </w:r>
      <w:r w:rsidRPr="00C22751">
        <w:rPr>
          <w:b/>
        </w:rPr>
        <w:t>below can be skipped</w:t>
      </w:r>
      <w:r>
        <w:rPr>
          <w:b/>
        </w:rPr>
        <w:t xml:space="preserve"> however running them will not cause any problems</w:t>
      </w:r>
      <w:r w:rsidRPr="00C22751">
        <w:rPr>
          <w:b/>
        </w:rPr>
        <w:t>.</w:t>
      </w:r>
    </w:p>
    <w:p w:rsidR="00B1788A" w:rsidRDefault="00B1788A" w:rsidP="00CC38B1">
      <w:pPr>
        <w:pStyle w:val="ListParagraph"/>
        <w:numPr>
          <w:ilvl w:val="0"/>
          <w:numId w:val="12"/>
        </w:numPr>
        <w:spacing w:before="240" w:after="240"/>
        <w:ind w:left="357" w:hanging="357"/>
      </w:pPr>
      <w:bookmarkStart w:id="15" w:name="_Ref462239608"/>
      <w:r>
        <w:t xml:space="preserve">Unzip </w:t>
      </w:r>
      <w:r w:rsidR="00B8126A">
        <w:t>the exNEM_NTIS_Interface0407020</w:t>
      </w:r>
      <w:r w:rsidR="00C22751">
        <w:t>6</w:t>
      </w:r>
      <w:r>
        <w:t>en.zip file to a staging folder on the Database Server.</w:t>
      </w:r>
      <w:bookmarkEnd w:id="15"/>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641095">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641095">
        <w:t>1</w:t>
      </w:r>
      <w:r>
        <w:fldChar w:fldCharType="end"/>
      </w:r>
      <w:r>
        <w:t xml:space="preserve"> as it is no longer needed.</w:t>
      </w:r>
    </w:p>
    <w:p w:rsidR="00B1788A" w:rsidRPr="00B1788A" w:rsidRDefault="00B1788A" w:rsidP="00B1788A">
      <w:pPr>
        <w:ind w:left="0"/>
      </w:pPr>
    </w:p>
    <w:bookmarkEnd w:id="12"/>
    <w:p w:rsidR="00B1788A" w:rsidRDefault="00B1788A">
      <w:pPr>
        <w:spacing w:before="0" w:after="0"/>
        <w:ind w:left="0"/>
        <w:rPr>
          <w:b/>
          <w:sz w:val="40"/>
          <w:szCs w:val="40"/>
        </w:rPr>
      </w:pPr>
      <w:r>
        <w:br w:type="page"/>
      </w:r>
    </w:p>
    <w:p w:rsidR="00D734E6" w:rsidRDefault="00D567CB" w:rsidP="00D734E6">
      <w:pPr>
        <w:pStyle w:val="Heading1"/>
      </w:pPr>
      <w:bookmarkStart w:id="16" w:name="_Toc488246892"/>
      <w:r>
        <w:lastRenderedPageBreak/>
        <w:t>Configuration</w:t>
      </w:r>
      <w:bookmarkEnd w:id="16"/>
    </w:p>
    <w:p w:rsidR="00D734E6" w:rsidRDefault="00D567CB" w:rsidP="00D734E6">
      <w:pPr>
        <w:pStyle w:val="Heading2"/>
        <w:tabs>
          <w:tab w:val="num" w:pos="576"/>
        </w:tabs>
        <w:ind w:left="576" w:hanging="576"/>
      </w:pPr>
      <w:bookmarkStart w:id="17" w:name="_Toc488246893"/>
      <w:r>
        <w:t>Product Options</w:t>
      </w:r>
      <w:bookmarkEnd w:id="17"/>
    </w:p>
    <w:p w:rsidR="00A30894" w:rsidRDefault="00B1788A" w:rsidP="00D734E6">
      <w:pPr>
        <w:ind w:left="0"/>
      </w:pPr>
      <w:proofErr w:type="gramStart"/>
      <w:r>
        <w:t>A number of</w:t>
      </w:r>
      <w:proofErr w:type="gramEnd"/>
      <w:r>
        <w:t xml:space="preserve">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B8126A" w:rsidP="00D734E6">
      <w:pPr>
        <w:ind w:left="0"/>
      </w:pPr>
      <w:r>
        <w:rPr>
          <w:noProof/>
        </w:rPr>
        <w:drawing>
          <wp:inline distT="0" distB="0" distL="0" distR="0" wp14:anchorId="11AE61E3" wp14:editId="6B1DA251">
            <wp:extent cx="5732145" cy="3796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96030"/>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B8126A"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B8126A" w:rsidRDefault="00B8126A" w:rsidP="00D734E6">
            <w:pPr>
              <w:ind w:left="0"/>
            </w:pPr>
            <w:r w:rsidRPr="00B8126A">
              <w:t>NTISCLNUPD</w:t>
            </w:r>
          </w:p>
        </w:tc>
        <w:tc>
          <w:tcPr>
            <w:tcW w:w="4711" w:type="dxa"/>
          </w:tcPr>
          <w:p w:rsidR="00B8126A" w:rsidRPr="004A3579" w:rsidRDefault="00B8126A" w:rsidP="00D734E6">
            <w:pPr>
              <w:ind w:left="0"/>
              <w:cnfStyle w:val="000000100000" w:firstRow="0" w:lastRow="0" w:firstColumn="0" w:lastColumn="0" w:oddVBand="0" w:evenVBand="0" w:oddHBand="1" w:evenHBand="0" w:firstRowFirstColumn="0" w:firstRowLastColumn="0" w:lastRowFirstColumn="0" w:lastRowLastColumn="0"/>
            </w:pPr>
            <w:r w:rsidRPr="00B8126A">
              <w:t>If t</w:t>
            </w:r>
            <w:r>
              <w:t>he value of this option is 'Y'</w:t>
            </w:r>
            <w:r w:rsidRPr="00B8126A">
              <w:t xml:space="preserve"> files will be cleaned up as part of the Update File creation process, otherwise a separate process to clean up files will be required.</w:t>
            </w:r>
          </w:p>
        </w:tc>
        <w:tc>
          <w:tcPr>
            <w:tcW w:w="2410" w:type="dxa"/>
          </w:tcPr>
          <w:p w:rsidR="00B8126A" w:rsidRDefault="00B8126A" w:rsidP="00D734E6">
            <w:pPr>
              <w:ind w:left="0"/>
              <w:cnfStyle w:val="000000100000" w:firstRow="0" w:lastRow="0" w:firstColumn="0" w:lastColumn="0" w:oddVBand="0" w:evenVBand="0" w:oddHBand="1" w:evenHBand="0" w:firstRowFirstColumn="0" w:firstRowLastColumn="0" w:lastRowFirstColumn="0" w:lastRowLastColumn="0"/>
            </w:pPr>
            <w:r>
              <w:t>N</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NTISLVMS</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2 (Maintenance Sections)</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NTISMAINT</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72</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w:t>
            </w:r>
          </w:p>
        </w:tc>
      </w:tr>
    </w:tbl>
    <w:p w:rsidR="00E14782" w:rsidRDefault="00E14782" w:rsidP="00E14782">
      <w:pPr>
        <w:pStyle w:val="Heading2"/>
        <w:numPr>
          <w:ilvl w:val="0"/>
          <w:numId w:val="0"/>
        </w:numPr>
        <w:ind w:left="576"/>
      </w:pPr>
    </w:p>
    <w:p w:rsidR="00E14782" w:rsidRDefault="00E14782" w:rsidP="00E14782">
      <w:pPr>
        <w:pStyle w:val="Heading2"/>
        <w:tabs>
          <w:tab w:val="num" w:pos="576"/>
        </w:tabs>
        <w:ind w:left="576" w:hanging="576"/>
      </w:pPr>
      <w:bookmarkStart w:id="18" w:name="_Toc488246894"/>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22487F" w:rsidP="00E14782">
      <w:pPr>
        <w:ind w:left="0"/>
      </w:pPr>
      <w:r>
        <w:rPr>
          <w:noProof/>
          <w:lang w:val="en-GB" w:eastAsia="en-GB" w:bidi="ar-SA"/>
        </w:rPr>
        <w:lastRenderedPageBreak/>
        <w:drawing>
          <wp:inline distT="0" distB="0" distL="0" distR="0" wp14:anchorId="20F6F9D8" wp14:editId="34A4AF2D">
            <wp:extent cx="5732145" cy="36093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609340"/>
                    </a:xfrm>
                    <a:prstGeom prst="rect">
                      <a:avLst/>
                    </a:prstGeom>
                  </pic:spPr>
                </pic:pic>
              </a:graphicData>
            </a:graphic>
          </wp:inline>
        </w:drawing>
      </w:r>
    </w:p>
    <w:p w:rsidR="00E14782" w:rsidRDefault="00E14782" w:rsidP="00A01DA3">
      <w:pPr>
        <w:pStyle w:val="Heading2"/>
      </w:pPr>
      <w:bookmarkStart w:id="19" w:name="_Toc488246895"/>
      <w:r>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“NEM_NTIS_OUT” FTP Type that is created as part of the install.</w:t>
      </w:r>
    </w:p>
    <w:p w:rsidR="00E14782" w:rsidRDefault="00E14782" w:rsidP="00E14782">
      <w:pPr>
        <w:ind w:left="0"/>
      </w:pPr>
    </w:p>
    <w:p w:rsidR="00812205" w:rsidRDefault="00812205" w:rsidP="00E14782">
      <w:pPr>
        <w:ind w:left="0"/>
      </w:pPr>
      <w:r>
        <w:rPr>
          <w:noProof/>
          <w:lang w:val="en-GB" w:eastAsia="en-GB" w:bidi="ar-SA"/>
        </w:rPr>
        <w:lastRenderedPageBreak/>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866515"/>
                    </a:xfrm>
                    <a:prstGeom prst="rect">
                      <a:avLst/>
                    </a:prstGeom>
                  </pic:spPr>
                </pic:pic>
              </a:graphicData>
            </a:graphic>
          </wp:inline>
        </w:drawing>
      </w:r>
    </w:p>
    <w:p w:rsidR="00E14782" w:rsidRPr="00E14782" w:rsidRDefault="00A01DA3" w:rsidP="00A01DA3">
      <w:pPr>
        <w:pStyle w:val="Heading2"/>
      </w:pPr>
      <w:bookmarkStart w:id="20" w:name="_Toc488246896"/>
      <w:r>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037D30" w:rsidRDefault="00037D30" w:rsidP="00812205">
      <w:pPr>
        <w:ind w:left="0"/>
      </w:pPr>
      <w:r>
        <w:t>The “</w:t>
      </w:r>
      <w:r w:rsidRPr="00812205">
        <w:t>NEM NTIS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B17F29" w:rsidRDefault="00B17F29" w:rsidP="00812205">
      <w:pPr>
        <w:ind w:left="0"/>
      </w:pPr>
    </w:p>
    <w:p w:rsidR="009A125A" w:rsidRDefault="009A125A" w:rsidP="00CC38B1">
      <w:pPr>
        <w:pStyle w:val="ListParagraph"/>
        <w:numPr>
          <w:ilvl w:val="0"/>
          <w:numId w:val="14"/>
        </w:numPr>
      </w:pPr>
      <w:r>
        <w:t>Select the “</w:t>
      </w:r>
      <w:r w:rsidRPr="00812205">
        <w:t>NEM NTIS Interface Update Export</w:t>
      </w:r>
      <w:r>
        <w:t>” from the list of Process Types and click on Next.</w:t>
      </w:r>
    </w:p>
    <w:p w:rsidR="00037D30" w:rsidRDefault="00037D30" w:rsidP="009A125A">
      <w:pPr>
        <w:ind w:left="0"/>
        <w:jc w:val="center"/>
      </w:pPr>
      <w:r>
        <w:rPr>
          <w:noProof/>
          <w:lang w:val="en-GB" w:eastAsia="en-GB" w:bidi="ar-SA"/>
        </w:rPr>
        <w:lastRenderedPageBreak/>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3656" cy="2741324"/>
                    </a:xfrm>
                    <a:prstGeom prst="rect">
                      <a:avLst/>
                    </a:prstGeom>
                  </pic:spPr>
                </pic:pic>
              </a:graphicData>
            </a:graphic>
          </wp:inline>
        </w:drawing>
      </w: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0316" cy="2761165"/>
                    </a:xfrm>
                    <a:prstGeom prst="rect">
                      <a:avLst/>
                    </a:prstGeom>
                  </pic:spPr>
                </pic:pic>
              </a:graphicData>
            </a:graphic>
          </wp:inline>
        </w:drawing>
      </w:r>
    </w:p>
    <w:p w:rsidR="00512F4C" w:rsidRDefault="00512F4C" w:rsidP="00CC38B1">
      <w:pPr>
        <w:pStyle w:val="ListParagraph"/>
        <w:numPr>
          <w:ilvl w:val="0"/>
          <w:numId w:val="14"/>
        </w:numPr>
      </w:pPr>
      <w:r>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lastRenderedPageBreak/>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480435"/>
                    </a:xfrm>
                    <a:prstGeom prst="rect">
                      <a:avLst/>
                    </a:prstGeom>
                  </pic:spPr>
                </pic:pic>
              </a:graphicData>
            </a:graphic>
          </wp:inline>
        </w:drawing>
      </w:r>
    </w:p>
    <w:p w:rsidR="00B8126A" w:rsidRDefault="00B8126A" w:rsidP="00512F4C">
      <w:pPr>
        <w:ind w:left="0"/>
        <w:jc w:val="center"/>
      </w:pPr>
    </w:p>
    <w:p w:rsidR="00B8126A" w:rsidRDefault="00B8126A">
      <w:pPr>
        <w:spacing w:before="0" w:after="0"/>
        <w:ind w:left="0"/>
        <w:rPr>
          <w:rFonts w:cs="Arial"/>
          <w:b/>
          <w:bCs/>
          <w:iCs w:val="0"/>
        </w:rPr>
      </w:pPr>
      <w:r>
        <w:br w:type="page"/>
      </w:r>
    </w:p>
    <w:p w:rsidR="00B8126A" w:rsidRPr="00E14782" w:rsidRDefault="00B8126A" w:rsidP="00B8126A">
      <w:pPr>
        <w:pStyle w:val="Heading2"/>
      </w:pPr>
      <w:bookmarkStart w:id="21" w:name="_Toc488246897"/>
      <w:r>
        <w:lastRenderedPageBreak/>
        <w:t>File Cleanup</w:t>
      </w:r>
      <w:bookmarkEnd w:id="21"/>
    </w:p>
    <w:p w:rsidR="00B8126A" w:rsidRDefault="00B8126A" w:rsidP="00B8126A">
      <w:pPr>
        <w:ind w:left="0"/>
      </w:pPr>
      <w:r>
        <w:t>If the Product Option “</w:t>
      </w:r>
      <w:r w:rsidRPr="00B8126A">
        <w:t>NTISCLNUPD</w:t>
      </w:r>
      <w:r>
        <w:t>” has been set to “N” then a separate process can be configured to periodically clean up the files produced by the Full Export and Update processes.</w:t>
      </w:r>
    </w:p>
    <w:p w:rsidR="00B8126A" w:rsidRDefault="00B8126A" w:rsidP="00B8126A">
      <w:pPr>
        <w:ind w:left="0"/>
      </w:pPr>
    </w:p>
    <w:p w:rsidR="00D36F1C" w:rsidRDefault="00B8126A" w:rsidP="00B8126A">
      <w:pPr>
        <w:ind w:left="0"/>
      </w:pPr>
      <w:r>
        <w:t xml:space="preserve">The process should call </w:t>
      </w:r>
      <w:proofErr w:type="spellStart"/>
      <w:r>
        <w:t>nem_ntis_</w:t>
      </w:r>
      <w:proofErr w:type="gramStart"/>
      <w:r>
        <w:t>interface.cleanup</w:t>
      </w:r>
      <w:proofErr w:type="gramEnd"/>
      <w:r>
        <w:t>_files</w:t>
      </w:r>
      <w:proofErr w:type="spellEnd"/>
      <w:r w:rsidR="00D36F1C">
        <w:t xml:space="preserve"> and can be run at whatever interval is appropriate for the environment upon which it is running.</w:t>
      </w:r>
    </w:p>
    <w:p w:rsidR="00B8126A" w:rsidRDefault="00D36F1C" w:rsidP="00B8126A">
      <w:pPr>
        <w:ind w:left="0"/>
      </w:pPr>
      <w:r>
        <w:t>“Polled FTP Type” / “Area Polled Locations” / “Process Locations” details will be inherited from the Full Export and Update process types so do not need to be entered:</w:t>
      </w:r>
    </w:p>
    <w:p w:rsidR="00D36F1C" w:rsidRDefault="00D36F1C" w:rsidP="00B8126A">
      <w:pPr>
        <w:ind w:left="0"/>
      </w:pPr>
      <w:r>
        <w:rPr>
          <w:noProof/>
        </w:rPr>
        <w:drawing>
          <wp:inline distT="0" distB="0" distL="0" distR="0" wp14:anchorId="4ACBB450" wp14:editId="418D81D6">
            <wp:extent cx="5732145" cy="34804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p w:rsidR="00B8126A" w:rsidRDefault="00D36F1C" w:rsidP="00D36F1C">
      <w:pPr>
        <w:ind w:left="0"/>
      </w:pPr>
      <w:r>
        <w:rPr>
          <w:noProof/>
        </w:rPr>
        <w:drawing>
          <wp:inline distT="0" distB="0" distL="0" distR="0" wp14:anchorId="7BF4333A" wp14:editId="2D8FC310">
            <wp:extent cx="57321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591945"/>
                    </a:xfrm>
                    <a:prstGeom prst="rect">
                      <a:avLst/>
                    </a:prstGeom>
                  </pic:spPr>
                </pic:pic>
              </a:graphicData>
            </a:graphic>
          </wp:inline>
        </w:drawing>
      </w:r>
    </w:p>
    <w:sectPr w:rsidR="00B8126A" w:rsidSect="003B00F2">
      <w:headerReference w:type="even" r:id="rId26"/>
      <w:headerReference w:type="default" r:id="rId27"/>
      <w:footerReference w:type="default" r:id="rId28"/>
      <w:headerReference w:type="first" r:id="rId29"/>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3AB" w:rsidRDefault="002563AB" w:rsidP="00864DF0">
      <w:r>
        <w:separator/>
      </w:r>
    </w:p>
  </w:endnote>
  <w:endnote w:type="continuationSeparator" w:id="0">
    <w:p w:rsidR="002563AB" w:rsidRDefault="002563AB"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641095">
        <w:t>Bentley Systems, Inc</w:t>
      </w:r>
    </w:fldSimple>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C22751">
          <w:t>Version &lt;1.4&gt;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41095">
      <w:rPr>
        <w:rStyle w:val="PageNumber"/>
        <w:noProof/>
        <w:color w:val="808080" w:themeColor="background1" w:themeShade="80"/>
      </w:rPr>
      <w:t>2</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641095">
        <w:t>Bentley Systems, Inc</w:t>
      </w:r>
    </w:fldSimple>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C22751">
          <w:t>Version &lt;1.4&gt;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41095">
      <w:rPr>
        <w:rStyle w:val="PageNumber"/>
        <w:noProof/>
        <w:color w:val="808080" w:themeColor="background1" w:themeShade="80"/>
      </w:rPr>
      <w:t>12</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3AB" w:rsidRDefault="002563AB" w:rsidP="00864DF0">
      <w:r>
        <w:separator/>
      </w:r>
    </w:p>
  </w:footnote>
  <w:footnote w:type="continuationSeparator" w:id="0">
    <w:p w:rsidR="002563AB" w:rsidRDefault="002563AB"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2563AB"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C22751" w:rsidP="00033765">
              <w:pPr>
                <w:pStyle w:val="Header"/>
                <w:rPr>
                  <w:color w:val="808080" w:themeColor="background1" w:themeShade="80"/>
                </w:rPr>
              </w:pPr>
              <w:r>
                <w:rPr>
                  <w:color w:val="808080" w:themeColor="background1" w:themeShade="80"/>
                </w:rPr>
                <w:t>Version &lt;1.4&gt;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C22751" w:rsidP="00B24940">
          <w:pPr>
            <w:pStyle w:val="Header"/>
            <w:rPr>
              <w:color w:val="808080" w:themeColor="background1" w:themeShade="80"/>
            </w:rPr>
          </w:pPr>
          <w:r>
            <w:rPr>
              <w:color w:val="808080" w:themeColor="background1" w:themeShade="80"/>
            </w:rPr>
            <w:t>4</w:t>
          </w:r>
          <w:r w:rsidR="00B8126A">
            <w:rPr>
              <w:color w:val="808080" w:themeColor="background1" w:themeShade="80"/>
            </w:rPr>
            <w:t>th</w:t>
          </w:r>
          <w:r w:rsidR="00334D5F">
            <w:rPr>
              <w:color w:val="808080" w:themeColor="background1" w:themeShade="80"/>
            </w:rPr>
            <w:t xml:space="preserve"> </w:t>
          </w:r>
          <w:r>
            <w:rPr>
              <w:color w:val="808080" w:themeColor="background1" w:themeShade="80"/>
            </w:rPr>
            <w:t>August</w:t>
          </w:r>
          <w:r w:rsidR="00334D5F">
            <w:rPr>
              <w:color w:val="808080" w:themeColor="background1" w:themeShade="80"/>
            </w:rPr>
            <w:t xml:space="preserve"> 201</w:t>
          </w:r>
          <w:r w:rsidR="00B8126A">
            <w:rPr>
              <w:color w:val="808080" w:themeColor="background1" w:themeShade="80"/>
            </w:rPr>
            <w:t>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41095">
            <w:rPr>
              <w:rStyle w:val="PageNumber"/>
              <w:noProof/>
              <w:color w:val="808080" w:themeColor="background1" w:themeShade="80"/>
            </w:rPr>
            <w:t>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641095">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2563AB"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C22751" w:rsidP="008D4090">
              <w:pPr>
                <w:pStyle w:val="Header"/>
                <w:rPr>
                  <w:color w:val="808080" w:themeColor="background1" w:themeShade="80"/>
                </w:rPr>
              </w:pPr>
              <w:r>
                <w:rPr>
                  <w:color w:val="808080" w:themeColor="background1" w:themeShade="80"/>
                </w:rPr>
                <w:t>Version &lt;1.4&gt;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C22751" w:rsidP="001F723B">
          <w:pPr>
            <w:pStyle w:val="Header"/>
            <w:rPr>
              <w:color w:val="808080" w:themeColor="background1" w:themeShade="80"/>
            </w:rPr>
          </w:pPr>
          <w:r>
            <w:rPr>
              <w:color w:val="808080" w:themeColor="background1" w:themeShade="80"/>
            </w:rPr>
            <w:t>4</w:t>
          </w:r>
          <w:r w:rsidR="00B8126A" w:rsidRPr="00B8126A">
            <w:rPr>
              <w:color w:val="808080" w:themeColor="background1" w:themeShade="80"/>
              <w:vertAlign w:val="superscript"/>
            </w:rPr>
            <w:t>th</w:t>
          </w:r>
          <w:r w:rsidR="00B8126A">
            <w:rPr>
              <w:color w:val="808080" w:themeColor="background1" w:themeShade="80"/>
            </w:rPr>
            <w:t xml:space="preserve"> </w:t>
          </w:r>
          <w:r>
            <w:rPr>
              <w:color w:val="808080" w:themeColor="background1" w:themeShade="80"/>
            </w:rPr>
            <w:t>August</w:t>
          </w:r>
          <w:r w:rsidR="00B8126A">
            <w:rPr>
              <w:color w:val="808080" w:themeColor="background1" w:themeShade="80"/>
            </w:rPr>
            <w:t xml:space="preserve"> 2017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41095">
            <w:rPr>
              <w:rStyle w:val="PageNumber"/>
              <w:noProof/>
              <w:color w:val="808080" w:themeColor="background1" w:themeShade="80"/>
            </w:rPr>
            <w:t>12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641095">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A4998"/>
    <w:rsid w:val="001B12D3"/>
    <w:rsid w:val="001B6DF4"/>
    <w:rsid w:val="001B7321"/>
    <w:rsid w:val="001B74C9"/>
    <w:rsid w:val="001C0F1D"/>
    <w:rsid w:val="001C32BD"/>
    <w:rsid w:val="001C450B"/>
    <w:rsid w:val="001C4A81"/>
    <w:rsid w:val="001D1500"/>
    <w:rsid w:val="001D1B40"/>
    <w:rsid w:val="001D1FE3"/>
    <w:rsid w:val="001D3020"/>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3AB"/>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5764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0300"/>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1095"/>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B7C59"/>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438CE"/>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02DD"/>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126A"/>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2751"/>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36F1C"/>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666F"/>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467FF"/>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849BA"/>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17C5B"/>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5093F"/>
    <w:rsid w:val="008B4B07"/>
    <w:rsid w:val="008B76B0"/>
    <w:rsid w:val="00906A7D"/>
    <w:rsid w:val="009105BF"/>
    <w:rsid w:val="00921985"/>
    <w:rsid w:val="00943182"/>
    <w:rsid w:val="00954E6E"/>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A1F8C"/>
    <w:rsid w:val="00CB642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93F"/>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 w:type="paragraph" w:customStyle="1" w:styleId="0604131EBCC74587A5BD7B7A4CC24F86">
    <w:name w:val="0604131EBCC74587A5BD7B7A4CC24F86"/>
    <w:rsid w:val="0085093F"/>
    <w:pPr>
      <w:spacing w:after="160" w:line="259" w:lineRule="auto"/>
    </w:pPr>
  </w:style>
  <w:style w:type="paragraph" w:customStyle="1" w:styleId="22ED69F55DEC4B019316C442FE836C8C">
    <w:name w:val="22ED69F55DEC4B019316C442FE836C8C"/>
    <w:rsid w:val="008509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3.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4.xml><?xml version="1.0" encoding="utf-8"?>
<ds:datastoreItem xmlns:ds="http://schemas.openxmlformats.org/officeDocument/2006/customXml" ds:itemID="{07F73AA0-F7E8-4B32-A410-4F80F25EA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339</TotalTime>
  <Pages>1</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6573</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22</cp:revision>
  <cp:lastPrinted>2017-08-04T10:13:00Z</cp:lastPrinted>
  <dcterms:created xsi:type="dcterms:W3CDTF">2016-09-21T12:06:00Z</dcterms:created>
  <dcterms:modified xsi:type="dcterms:W3CDTF">2017-08-04T10:14:00Z</dcterms:modified>
  <cp:category>Project Documentation</cp:category>
  <cp:contentStatus>Version &lt;1.4&gt;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