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4581" w:right="4407" w:firstLine="0"/>
        <w:jc w:val="center"/>
        <w:rPr>
          <w:rFonts w:hAnsi="宋体" w:eastAsia="宋体" w:ascii="宋体"/>
          <w:sz w:val="12"/>
        </w:rPr>
      </w:pPr>
      <w:r>
        <w:rPr>
          <w:rFonts w:hAnsi="宋体" w:eastAsia="宋体" w:ascii="宋体"/>
        </w:rPr>
        <w:pict>
          <v:rect style="position:absolute;margin-left:42.52pt;margin-top:23.90098pt;width:447.874pt;height:.28351pt;mso-position-horizontal-relative:page;mso-position-vertical-relative:paragraph;z-index:15732736" id="docshape1" filled="true" fillcolor="#231f20" stroked="false">
            <v:fill type="solid"/>
            <w10:wrap type="none"/>
          </v:rect>
        </w:pict>
      </w:r>
      <w:r>
        <w:rPr>
          <w:rFonts w:hAnsi="宋体" w:eastAsia="宋体" w:ascii="宋体"/>
        </w:rPr>
        <w:drawing>
          <wp:anchor distT="0" distB="0" distL="0" distR="0" allowOverlap="1" layoutInCell="1" locked="0" behindDoc="0" simplePos="0" relativeHeight="15733248">
            <wp:simplePos x="0" y="0"/>
            <wp:positionH relativeFrom="page">
              <wp:posOffset>6448323</wp:posOffset>
            </wp:positionH>
            <wp:positionV relativeFrom="paragraph">
              <wp:posOffset>304272</wp:posOffset>
            </wp:positionV>
            <wp:extent cx="686510" cy="909827"/>
            <wp:effectExtent l="0" t="0" r="0" b="0"/>
            <wp:wrapNone/>
            <wp:docPr id="1" name="image1.jpeg" descr="Unlabelled image"/>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86510" cy="909827"/>
                    </a:xfrm>
                    <a:prstGeom prst="rect">
                      <a:avLst/>
                    </a:prstGeom>
                  </pic:spPr>
                </pic:pic>
              </a:graphicData>
            </a:graphic>
          </wp:anchor>
        </w:drawing>
      </w:r>
      <w:r>
        <w:rPr>
          <w:rFonts w:hAnsi="宋体" w:eastAsia="宋体" w:ascii="宋体"/>
        </w:rPr>
        <w:drawing>
          <wp:anchor distT="0" distB="0" distL="0" distR="0" allowOverlap="1" layoutInCell="1" locked="0" behindDoc="0" simplePos="0" relativeHeight="15733760">
            <wp:simplePos x="0" y="0"/>
            <wp:positionH relativeFrom="page">
              <wp:posOffset>540004</wp:posOffset>
            </wp:positionH>
            <wp:positionV relativeFrom="paragraph">
              <wp:posOffset>384181</wp:posOffset>
            </wp:positionV>
            <wp:extent cx="762699" cy="832103"/>
            <wp:effectExtent l="0" t="0" r="0" b="0"/>
            <wp:wrapNone/>
            <wp:docPr id="3" name="image2.jpeg" descr="Unlabelled image"/>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762699" cy="832103"/>
                    </a:xfrm>
                    <a:prstGeom prst="rect">
                      <a:avLst/>
                    </a:prstGeom>
                  </pic:spPr>
                </pic:pic>
              </a:graphicData>
            </a:graphic>
          </wp:anchor>
        </w:drawing>
      </w:r>
      <w:r>
        <w:rPr>
          <w:rFonts w:hAnsi="宋体" w:eastAsia="宋体" w:ascii="宋体"/>
        </w:rPr>
        <w:pict>
          <v:shapetype id="_x0000_t202" o:spt="202" coordsize="21600,21600" path="m,l,21600r21600,l21600,xe">
            <v:stroke joinstyle="miter"/>
            <v:path gradientshapeok="t" o:connecttype="rect"/>
          </v:shapetype>
          <v:shape style="position:absolute;margin-left:116.220001pt;margin-top:30.25049pt;width:374.5pt;height:65.2pt;mso-position-horizontal-relative:page;mso-position-vertical-relative:paragraph;z-index:15734272" type="#_x0000_t202" id="docshape2" filled="true" fillcolor="#e6e7e8" stroked="false">
            <v:textbox inset="0,0,0,0">
              <w:txbxContent>
                <w:p>
                  <w:pPr>
                    <w:pStyle w:val="BodyText"/>
                    <w:spacing w:line="174" w:lineRule="exact"/>
                    <w:ind w:left="1450" w:right="1450"/>
                    <w:jc w:val="center"/>
                    <w:rPr>
                      <w:rFonts w:hAnsi="宋体" w:eastAsia="宋体" w:ascii="宋体"/>
                      <w:color w:val="000000"/>
                    </w:rPr>
                  </w:pPr>
                  <w:r>
                    <w:rPr>
                      <w:rFonts w:hAnsi="宋体" w:eastAsia="宋体" w:ascii="宋体"/>
                      <w:color w:val="231F20"/>
                      <w:w w:val="105"/>
                    </w:rPr>
                    <w:t>目录列表可从以下网址获得</w:t>
                  </w:r>
                  <w:hyperlink r:id="rId8">
                    <w:r>
                      <w:rPr>
                        <w:rFonts w:hAnsi="宋体" w:eastAsia="宋体" w:ascii="宋体"/>
                        <w:color w:val="2E3092"/>
                        <w:w w:val="105"/>
                      </w:rPr>
                      <w:t>科学指导</w:t>
                    </w:r>
                  </w:hyperlink>
                </w:p>
                <w:p>
                  <w:pPr>
                    <w:pStyle w:val="BodyText"/>
                    <w:spacing w:before="9"/>
                    <w:rPr>
                      <w:rFonts w:hAnsi="宋体" w:eastAsia="宋体" w:ascii="宋体"/>
                      <w:color w:val="000000"/>
                      <w:sz w:val="21"/>
                    </w:rPr>
                  </w:pPr>
                </w:p>
                <w:p>
                  <w:pPr>
                    <w:spacing w:before="1"/>
                    <w:ind w:left="1449" w:right="1450" w:firstLine="0"/>
                    <w:jc w:val="center"/>
                    <w:rPr>
                      <w:rFonts w:hAnsi="宋体" w:eastAsia="宋体" w:ascii="宋体"/>
                      <w:color w:val="000000"/>
                      <w:sz w:val="28"/>
                    </w:rPr>
                  </w:pPr>
                  <w:r>
                    <w:rPr>
                      <w:rFonts w:hAnsi="宋体" w:eastAsia="宋体" w:ascii="宋体"/>
                      <w:color w:val="231F20"/>
                      <w:sz w:val="28"/>
                    </w:rPr>
                    <w:t>基因组学</w:t>
                  </w:r>
                </w:p>
                <w:p>
                  <w:pPr>
                    <w:pStyle w:val="BodyText"/>
                    <w:spacing w:before="6"/>
                    <w:rPr>
                      <w:rFonts w:hAnsi="宋体" w:eastAsia="宋体" w:ascii="宋体"/>
                      <w:color w:val="000000"/>
                      <w:sz w:val="26"/>
                    </w:rPr>
                  </w:pPr>
                </w:p>
                <w:p>
                  <w:pPr>
                    <w:pStyle w:val="BodyText"/>
                    <w:ind w:left="1450" w:right="1450"/>
                    <w:jc w:val="center"/>
                    <w:rPr>
                      <w:rFonts w:hAnsi="宋体" w:eastAsia="宋体" w:ascii="宋体"/>
                      <w:color w:val="000000"/>
                    </w:rPr>
                  </w:pPr>
                  <w:r>
                    <w:rPr>
                      <w:rFonts w:hAnsi="宋体" w:eastAsia="宋体" w:ascii="宋体"/>
                      <w:color w:val="231F20"/>
                      <w:spacing w:val="16"/>
                    </w:rPr>
                    <w:t>期刊主页:www.elsevier. com/ locate/ yge no</w:t>
                  </w:r>
                </w:p>
              </w:txbxContent>
            </v:textbox>
            <v:fill type="solid"/>
            <w10:wrap type="none"/>
          </v:shape>
        </w:pict>
      </w:r>
      <w:bookmarkStart w:name="Java web tools for PCR, in silico PCR, a" w:id="1"/>
      <w:bookmarkEnd w:id="1"/>
      <w:r>
        <w:rPr>
          <w:rFonts w:hAnsi="宋体" w:eastAsia="宋体" w:ascii="宋体"/>
        </w:rPr>
      </w:r>
      <w:hyperlink r:id="rId9">
        <w:r>
          <w:rPr>
            <w:rFonts w:hAnsi="宋体" w:eastAsia="宋体" w:ascii="宋体"/>
            <w:color w:val="2E3092"/>
            <w:w w:val="110"/>
            <w:sz w:val="12"/>
          </w:rPr>
          <w:t>基因组学98(2011)137–144</w:t>
        </w:r>
      </w:hyperlink>
    </w:p>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rPr>
          <w:rFonts w:hAnsi="宋体" w:eastAsia="宋体" w:ascii="宋体"/>
          <w:sz w:val="20"/>
        </w:rPr>
      </w:pPr>
    </w:p>
    <w:p>
      <w:pPr>
        <w:pStyle w:val="BodyText"/>
        <w:spacing w:before="5"/>
        <w:rPr>
          <w:rFonts w:hAnsi="宋体" w:eastAsia="宋体" w:ascii="宋体"/>
          <w:sz w:val="28"/>
        </w:rPr>
      </w:pPr>
      <w:r>
        <w:rPr>
          <w:rFonts w:hAnsi="宋体" w:eastAsia="宋体" w:ascii="宋体"/>
        </w:rPr>
        <w:pict>
          <v:rect style="position:absolute;margin-left:42.52pt;margin-top:18.283503pt;width:519.0800pt;height:3.0047pt;mso-position-horizontal-relative:page;mso-position-vertical-relative:paragraph;z-index:-15728640;mso-wrap-distance-left:0;mso-wrap-distance-right:0" id="docshape3" filled="true" fillcolor="#231f20" stroked="false">
            <v:fill type="solid"/>
            <w10:wrap type="topAndBottom"/>
          </v:rect>
        </w:pict>
      </w:r>
    </w:p>
    <w:p>
      <w:pPr>
        <w:pStyle w:val="BodyText"/>
        <w:spacing w:before="10"/>
        <w:rPr>
          <w:rFonts w:hAnsi="宋体" w:eastAsia="宋体" w:ascii="宋体"/>
          <w:sz w:val="15"/>
        </w:rPr>
      </w:pPr>
    </w:p>
    <w:p>
      <w:pPr>
        <w:spacing w:before="1"/>
        <w:ind w:left="290" w:right="0" w:firstLine="0"/>
        <w:jc w:val="left"/>
        <w:rPr>
          <w:rFonts w:hAnsi="宋体" w:eastAsia="宋体" w:ascii="宋体"/>
          <w:sz w:val="19"/>
        </w:rPr>
      </w:pPr>
      <w:r>
        <w:rPr>
          <w:rFonts w:hAnsi="宋体" w:eastAsia="宋体" w:ascii="宋体"/>
          <w:color w:val="231F20"/>
          <w:sz w:val="19"/>
        </w:rPr>
        <w:t>方法</w:t>
      </w:r>
    </w:p>
    <w:p>
      <w:pPr>
        <w:spacing w:before="129"/>
        <w:ind w:left="290" w:right="0" w:firstLine="0"/>
        <w:jc w:val="left"/>
        <w:rPr>
          <w:rFonts w:hAnsi="宋体" w:eastAsia="宋体" w:ascii="宋体"/>
          <w:sz w:val="27"/>
        </w:rPr>
      </w:pPr>
      <w:r>
        <w:rPr>
          <w:rFonts w:hAnsi="宋体" w:eastAsia="宋体" w:ascii="宋体"/>
          <w:color w:val="231F20"/>
          <w:sz w:val="27"/>
        </w:rPr>
        <w:t>用于聚合酶链反应、电子聚合酶链反应以及寡核苷酸组装和分析的Java网络工具</w:t>
      </w:r>
    </w:p>
    <w:p>
      <w:pPr>
        <w:spacing w:before="157"/>
        <w:ind w:left="290" w:right="0" w:firstLine="0"/>
        <w:jc w:val="left"/>
        <w:rPr>
          <w:rFonts w:hAnsi="宋体" w:eastAsia="宋体" w:ascii="宋体"/>
          <w:sz w:val="21"/>
        </w:rPr>
      </w:pPr>
      <w:r>
        <w:rPr>
          <w:rFonts w:hAnsi="宋体" w:eastAsia="宋体" w:ascii="宋体"/>
          <w:color w:val="231F20"/>
          <w:sz w:val="21"/>
        </w:rPr>
        <w:t>鲁斯兰·卡伦达尔</w:t>
      </w:r>
      <w:hyperlink w:history="true" w:anchor="_bookmark0">
        <w:r>
          <w:rPr>
            <w:rFonts w:hAnsi="宋体" w:eastAsia="宋体" w:ascii="宋体"/>
            <w:color w:val="2E3092"/>
            <w:sz w:val="21"/>
            <w:vertAlign w:val="superscript"/>
          </w:rPr>
          <w:t>a</w:t>
        </w:r>
      </w:hyperlink>
      <w:r>
        <w:rPr>
          <w:rFonts w:hAnsi="宋体" w:eastAsia="宋体" w:ascii="宋体"/>
          <w:color w:val="231F20"/>
          <w:sz w:val="21"/>
          <w:vertAlign w:val="superscript"/>
        </w:rPr>
        <w:t>,</w:t>
      </w:r>
      <w:hyperlink w:history="true" w:anchor="_bookmark1">
        <w:r>
          <w:rPr>
            <w:rFonts w:hAnsi="宋体" w:eastAsia="宋体" w:ascii="宋体"/>
            <w:color w:val="2E3092"/>
            <w:sz w:val="21"/>
            <w:vertAlign w:val="superscript"/>
          </w:rPr>
          <w:t>b</w:t>
        </w:r>
      </w:hyperlink>
      <w:r>
        <w:rPr>
          <w:rFonts w:hAnsi="宋体" w:eastAsia="宋体" w:ascii="宋体"/>
          <w:color w:val="231F20"/>
          <w:sz w:val="21"/>
          <w:vertAlign w:val="superscript"/>
        </w:rPr>
        <w:t>,</w:t>
      </w:r>
      <w:hyperlink w:history="true" w:anchor="_bookmark4">
        <w:r>
          <w:rPr>
            <w:rFonts w:hAnsi="宋体" w:eastAsia="宋体" w:ascii="宋体"/>
            <w:color w:val="2E3092"/>
            <w:position w:val="1"/>
            <w:sz w:val="24"/>
            <w:vertAlign w:val="baseline"/>
          </w:rPr>
          <w:t>⁎</w:t>
        </w:r>
      </w:hyperlink>
      <w:r>
        <w:rPr>
          <w:rFonts w:hAnsi="宋体" w:eastAsia="宋体" w:ascii="宋体"/>
          <w:color w:val="231F20"/>
          <w:sz w:val="21"/>
          <w:vertAlign w:val="baseline"/>
        </w:rPr>
        <w:t>，李尚义</w:t>
      </w:r>
      <w:hyperlink w:history="true" w:anchor="_bookmark2">
        <w:r>
          <w:rPr>
            <w:rFonts w:hAnsi="宋体" w:eastAsia="宋体" w:ascii="宋体"/>
            <w:color w:val="2E3092"/>
            <w:sz w:val="21"/>
            <w:vertAlign w:val="superscript"/>
          </w:rPr>
          <w:t>c</w:t>
        </w:r>
      </w:hyperlink>
      <w:r>
        <w:rPr>
          <w:rFonts w:hAnsi="宋体" w:eastAsia="宋体" w:ascii="宋体"/>
          <w:color w:val="231F20"/>
          <w:sz w:val="21"/>
          <w:vertAlign w:val="baseline"/>
        </w:rPr>
        <w:t>艾伦·舒尔曼</w:t>
      </w:r>
      <w:hyperlink w:history="true" w:anchor="_bookmark0">
        <w:r>
          <w:rPr>
            <w:rFonts w:hAnsi="宋体" w:eastAsia="宋体" w:ascii="宋体"/>
            <w:color w:val="2E3092"/>
            <w:sz w:val="21"/>
            <w:vertAlign w:val="superscript"/>
          </w:rPr>
          <w:t>a</w:t>
        </w:r>
      </w:hyperlink>
      <w:r>
        <w:rPr>
          <w:rFonts w:hAnsi="宋体" w:eastAsia="宋体" w:ascii="宋体"/>
          <w:color w:val="231F20"/>
          <w:sz w:val="21"/>
          <w:vertAlign w:val="superscript"/>
        </w:rPr>
        <w:t>,</w:t>
      </w:r>
      <w:hyperlink w:history="true" w:anchor="_bookmark3">
        <w:r>
          <w:rPr>
            <w:rFonts w:hAnsi="宋体" w:eastAsia="宋体" w:ascii="宋体"/>
            <w:color w:val="2E3092"/>
            <w:sz w:val="21"/>
            <w:vertAlign w:val="superscript"/>
          </w:rPr>
          <w:t>d</w:t>
        </w:r>
      </w:hyperlink>
    </w:p>
    <w:p>
      <w:pPr>
        <w:spacing w:before="133"/>
        <w:ind w:left="290" w:right="0" w:firstLine="0"/>
        <w:jc w:val="left"/>
        <w:rPr>
          <w:rFonts w:hAnsi="宋体" w:eastAsia="宋体" w:ascii="宋体"/>
          <w:i/>
          <w:sz w:val="12"/>
        </w:rPr>
      </w:pPr>
      <w:bookmarkStart w:name="_bookmark0" w:id="2"/>
      <w:bookmarkEnd w:id="2"/>
      <w:r>
        <w:rPr>
          <w:rFonts w:hAnsi="宋体" w:eastAsia="宋体" w:ascii="宋体"/>
        </w:rPr>
      </w:r>
      <w:r>
        <w:rPr>
          <w:rFonts w:hAnsi="宋体" w:eastAsia="宋体" w:ascii="宋体"/>
          <w:color w:val="231F20"/>
          <w:w w:val="110"/>
          <w:sz w:val="12"/>
          <w:vertAlign w:val="superscript"/>
        </w:rPr>
        <w:t>芬兰赫尔辛基大学生物技术研究所MTT/BI植物基因组学实验室，邮政信箱65号，芬兰赫尔辛基-00014</w:t>
      </w:r>
      <w:bookmarkStart w:name="_bookmark1" w:id="3"/>
      <w:bookmarkEnd w:id="3"/>
    </w:p>
    <w:p>
      <w:pPr>
        <w:spacing w:before="26"/>
        <w:ind w:left="290" w:right="0" w:firstLine="0"/>
        <w:jc w:val="left"/>
        <w:rPr>
          <w:rFonts w:hAnsi="宋体" w:eastAsia="宋体" w:ascii="宋体"/>
          <w:i/>
          <w:sz w:val="12"/>
        </w:rPr>
      </w:pPr>
      <w:r>
        <w:rPr>
          <w:rFonts w:hAnsi="宋体" w:eastAsia="宋体" w:ascii="宋体"/>
          <w:color w:val="231F20"/>
          <w:w w:val="110"/>
          <w:sz w:val="12"/>
          <w:vertAlign w:val="superscript"/>
        </w:rPr>
        <w:t>芬兰赫尔辛基芬兰-00790第一数码有限公司</w:t>
      </w:r>
      <w:bookmarkStart w:name="_bookmark2" w:id="4"/>
      <w:bookmarkEnd w:id="4"/>
    </w:p>
    <w:p>
      <w:pPr>
        <w:spacing w:before="26"/>
        <w:ind w:left="290" w:right="0" w:firstLine="0"/>
        <w:jc w:val="left"/>
        <w:rPr>
          <w:rFonts w:hAnsi="宋体" w:eastAsia="宋体" w:ascii="宋体"/>
          <w:i/>
          <w:sz w:val="12"/>
        </w:rPr>
      </w:pPr>
      <w:r>
        <w:rPr>
          <w:rFonts w:hAnsi="宋体" w:eastAsia="宋体" w:ascii="宋体"/>
          <w:color w:val="231F20"/>
          <w:w w:val="110"/>
          <w:sz w:val="12"/>
          <w:vertAlign w:val="superscript"/>
        </w:rPr>
        <w:t>英国剑桥大学亨廷顿路国家农业植物研究所约翰·宾汉姆实验室</w:t>
      </w:r>
      <w:bookmarkStart w:name="_bookmark3" w:id="5"/>
      <w:bookmarkEnd w:id="5"/>
    </w:p>
    <w:p>
      <w:pPr>
        <w:spacing w:before="27"/>
        <w:ind w:left="290" w:right="0" w:firstLine="0"/>
        <w:jc w:val="left"/>
        <w:rPr>
          <w:rFonts w:hAnsi="宋体" w:eastAsia="宋体" w:ascii="宋体"/>
          <w:i/>
          <w:sz w:val="12"/>
        </w:rPr>
      </w:pPr>
      <w:r>
        <w:rPr>
          <w:rFonts w:hAnsi="宋体" w:eastAsia="宋体" w:ascii="宋体"/>
          <w:color w:val="231F20"/>
          <w:w w:val="110"/>
          <w:sz w:val="12"/>
          <w:vertAlign w:val="superscript"/>
        </w:rPr>
        <w:t>d生物技术和食品研究，芬兰农业食品研究公司，芬兰约基奥宁，FIN-31600</w:t>
      </w:r>
    </w:p>
    <w:p>
      <w:pPr>
        <w:pStyle w:val="BodyText"/>
        <w:spacing w:before="4"/>
        <w:rPr>
          <w:rFonts w:hAnsi="宋体" w:eastAsia="宋体" w:ascii="宋体"/>
          <w:i/>
          <w:sz w:val="14"/>
        </w:rPr>
      </w:pPr>
      <w:r>
        <w:rPr>
          <w:rFonts w:hAnsi="宋体" w:eastAsia="宋体" w:ascii="宋体"/>
        </w:rPr>
        <w:pict>
          <v:rect style="position:absolute;margin-left:42.52pt;margin-top:9.65551pt;width:519.024pt;height:.22675pt;mso-position-horizontal-relative:page;mso-position-vertical-relative:paragraph;z-index:-15728128;mso-wrap-distance-left:0;mso-wrap-distance-right:0" id="docshape4" filled="true" fillcolor="#231f20" stroked="false">
            <v:fill type="solid"/>
            <w10:wrap type="topAndBottom"/>
          </v:rect>
        </w:pict>
      </w:r>
    </w:p>
    <w:p>
      <w:pPr>
        <w:pStyle w:val="BodyText"/>
        <w:spacing w:before="10"/>
        <w:rPr>
          <w:rFonts w:hAnsi="宋体" w:eastAsia="宋体" w:ascii="宋体"/>
          <w:i/>
          <w:sz w:val="13"/>
        </w:rPr>
      </w:pPr>
    </w:p>
    <w:p>
      <w:pPr>
        <w:spacing w:after="0"/>
        <w:rPr>
          <w:rFonts w:hAnsi="宋体" w:eastAsia="宋体" w:ascii="宋体"/>
          <w:sz w:val="13"/>
        </w:rPr>
        <w:sectPr>
          <w:footerReference w:type="default" r:id="rId5"/>
          <w:type w:val="continuous"/>
          <w:pgSz w:w="11910" w:h="15880"/>
          <w:pgMar w:footer="0" w:header="0" w:top="640" w:bottom="280" w:left="560" w:right="560"/>
          <w:pgNumType w:start="137"/>
        </w:sectPr>
      </w:pPr>
    </w:p>
    <w:p>
      <w:pPr>
        <w:pStyle w:val="Heading1"/>
        <w:tabs>
          <w:tab w:pos="1586" w:val="left" w:leader="none"/>
        </w:tabs>
      </w:pPr>
      <w:r>
        <w:rPr>
          <w:rFonts w:hAnsi="宋体" w:eastAsia="宋体" w:ascii="宋体"/>
          <w:color w:val="231F20"/>
          <w:spacing w:val="29"/>
          <w:w w:val="115"/>
        </w:rPr>
        <w:t>一辆卡车</w:t>
      </w:r>
    </w:p>
    <w:p>
      <w:pPr>
        <w:pStyle w:val="BodyText"/>
        <w:spacing w:before="7"/>
        <w:rPr>
          <w:rFonts w:hAnsi="宋体" w:eastAsia="宋体" w:ascii="宋体"/>
          <w:sz w:val="17"/>
        </w:rPr>
      </w:pPr>
    </w:p>
    <w:p>
      <w:pPr>
        <w:spacing w:before="0"/>
        <w:ind w:left="290" w:right="0" w:firstLine="0"/>
        <w:jc w:val="left"/>
        <w:rPr>
          <w:rFonts w:hAnsi="宋体" w:eastAsia="宋体" w:ascii="宋体"/>
          <w:i/>
          <w:sz w:val="12"/>
        </w:rPr>
      </w:pPr>
      <w:r>
        <w:rPr>
          <w:rFonts w:hAnsi="宋体" w:eastAsia="宋体" w:ascii="宋体"/>
        </w:rPr>
        <w:pict>
          <v:rect style="position:absolute;margin-left:42.52pt;margin-top:-2.632696pt;width:133.228pt;height:.28348pt;mso-position-horizontal-relative:page;mso-position-vertical-relative:paragraph;z-index:15731712" id="docshape5" filled="true" fillcolor="#231f20" stroked="false">
            <v:fill type="solid"/>
            <w10:wrap type="none"/>
          </v:rect>
        </w:pict>
      </w:r>
      <w:r>
        <w:rPr>
          <w:rFonts w:hAnsi="宋体" w:eastAsia="宋体" w:ascii="宋体"/>
          <w:i/>
          <w:color w:val="231F20"/>
          <w:w w:val="110"/>
          <w:sz w:val="12"/>
        </w:rPr>
        <w:t>文章历史:</w:t>
      </w:r>
    </w:p>
    <w:p>
      <w:pPr>
        <w:spacing w:before="27"/>
        <w:ind w:left="290" w:right="0" w:firstLine="0"/>
        <w:jc w:val="left"/>
        <w:rPr>
          <w:rFonts w:hAnsi="宋体" w:eastAsia="宋体" w:ascii="宋体"/>
          <w:sz w:val="12"/>
        </w:rPr>
      </w:pPr>
      <w:r>
        <w:rPr>
          <w:rFonts w:hAnsi="宋体" w:eastAsia="宋体" w:ascii="宋体"/>
          <w:color w:val="231F20"/>
          <w:w w:val="110"/>
          <w:sz w:val="12"/>
        </w:rPr>
        <w:t>2010年12月31日收到</w:t>
      </w:r>
    </w:p>
    <w:p>
      <w:pPr>
        <w:spacing w:before="27"/>
        <w:ind w:left="290" w:right="0" w:firstLine="0"/>
        <w:jc w:val="left"/>
        <w:rPr>
          <w:rFonts w:hAnsi="宋体" w:eastAsia="宋体" w:ascii="宋体"/>
          <w:sz w:val="12"/>
        </w:rPr>
      </w:pPr>
      <w:r>
        <w:rPr>
          <w:rFonts w:hAnsi="宋体" w:eastAsia="宋体" w:ascii="宋体"/>
          <w:color w:val="231F20"/>
          <w:w w:val="105"/>
          <w:sz w:val="12"/>
        </w:rPr>
        <w:t>2011年4月25日接受</w:t>
      </w:r>
    </w:p>
    <w:p>
      <w:pPr>
        <w:spacing w:before="28"/>
        <w:ind w:left="290" w:right="0" w:firstLine="0"/>
        <w:jc w:val="left"/>
        <w:rPr>
          <w:rFonts w:hAnsi="宋体" w:eastAsia="宋体" w:ascii="宋体"/>
          <w:sz w:val="12"/>
        </w:rPr>
      </w:pPr>
      <w:r>
        <w:rPr>
          <w:rFonts w:hAnsi="宋体" w:eastAsia="宋体" w:ascii="宋体"/>
          <w:color w:val="231F20"/>
          <w:w w:val="105"/>
          <w:sz w:val="12"/>
        </w:rPr>
        <w:t>2011年5月3日在线提供</w:t>
      </w:r>
    </w:p>
    <w:p>
      <w:pPr>
        <w:pStyle w:val="BodyText"/>
        <w:spacing w:before="1"/>
        <w:rPr>
          <w:rFonts w:hAnsi="宋体" w:eastAsia="宋体" w:ascii="宋体"/>
          <w:sz w:val="18"/>
        </w:rPr>
      </w:pPr>
    </w:p>
    <w:p>
      <w:pPr>
        <w:spacing w:before="1"/>
        <w:ind w:left="290" w:right="0" w:firstLine="0"/>
        <w:jc w:val="left"/>
        <w:rPr>
          <w:rFonts w:hAnsi="宋体" w:eastAsia="宋体" w:ascii="宋体"/>
          <w:i/>
          <w:sz w:val="12"/>
        </w:rPr>
      </w:pPr>
      <w:r>
        <w:rPr>
          <w:rFonts w:hAnsi="宋体" w:eastAsia="宋体" w:ascii="宋体"/>
        </w:rPr>
        <w:pict>
          <v:rect style="position:absolute;margin-left:42.52pt;margin-top:-3.318864pt;width:133.228006pt;height:.226pt;mso-position-horizontal-relative:page;mso-position-vertical-relative:paragraph;z-index:15732224" id="docshape6" filled="true" fillcolor="#231f20" stroked="false">
            <v:fill type="solid"/>
            <w10:wrap type="none"/>
          </v:rect>
        </w:pict>
      </w:r>
      <w:r>
        <w:rPr>
          <w:rFonts w:hAnsi="宋体" w:eastAsia="宋体" w:ascii="宋体"/>
          <w:i/>
          <w:color w:val="231F20"/>
          <w:w w:val="115"/>
          <w:sz w:val="12"/>
        </w:rPr>
        <w:t>关键词:</w:t>
      </w:r>
    </w:p>
    <w:p>
      <w:pPr>
        <w:spacing w:before="26"/>
        <w:ind w:left="290" w:right="0" w:firstLine="0"/>
        <w:jc w:val="left"/>
        <w:rPr>
          <w:rFonts w:hAnsi="宋体" w:eastAsia="宋体" w:ascii="宋体"/>
          <w:sz w:val="12"/>
        </w:rPr>
      </w:pPr>
      <w:r>
        <w:rPr>
          <w:rFonts w:hAnsi="宋体" w:eastAsia="宋体" w:ascii="宋体"/>
          <w:color w:val="231F20"/>
          <w:sz w:val="12"/>
        </w:rPr>
        <w:t>聚合酶链反应引物设计</w:t>
      </w:r>
    </w:p>
    <w:p>
      <w:pPr>
        <w:spacing w:line="285" w:lineRule="auto" w:before="27"/>
        <w:ind w:left="290" w:right="345" w:firstLine="0"/>
        <w:jc w:val="left"/>
        <w:rPr>
          <w:rFonts w:hAnsi="宋体" w:eastAsia="宋体" w:ascii="宋体"/>
          <w:sz w:val="12"/>
        </w:rPr>
      </w:pPr>
      <w:r>
        <w:rPr>
          <w:rFonts w:hAnsi="宋体" w:eastAsia="宋体" w:ascii="宋体"/>
          <w:color w:val="231F20"/>
          <w:w w:val="105"/>
          <w:sz w:val="12"/>
        </w:rPr>
        <w:t>初级语言复杂性序列汇编软件</w:t>
      </w:r>
    </w:p>
    <w:p>
      <w:pPr>
        <w:spacing w:line="144" w:lineRule="exact" w:before="0"/>
        <w:ind w:left="290" w:right="0" w:firstLine="0"/>
        <w:jc w:val="left"/>
        <w:rPr>
          <w:rFonts w:hAnsi="宋体" w:eastAsia="宋体" w:ascii="宋体"/>
          <w:sz w:val="12"/>
        </w:rPr>
      </w:pPr>
      <w:r>
        <w:rPr>
          <w:rFonts w:hAnsi="宋体" w:eastAsia="宋体" w:ascii="宋体"/>
          <w:color w:val="231F20"/>
          <w:w w:val="105"/>
          <w:sz w:val="12"/>
        </w:rPr>
        <w:t>探针设计</w:t>
      </w:r>
    </w:p>
    <w:p>
      <w:pPr>
        <w:spacing w:before="27"/>
        <w:ind w:left="290" w:right="0" w:firstLine="0"/>
        <w:jc w:val="left"/>
        <w:rPr>
          <w:rFonts w:hAnsi="宋体" w:eastAsia="宋体" w:ascii="宋体"/>
          <w:sz w:val="12"/>
        </w:rPr>
      </w:pPr>
      <w:r>
        <w:rPr>
          <w:rFonts w:hAnsi="宋体" w:eastAsia="宋体" w:ascii="宋体"/>
          <w:color w:val="231F20"/>
          <w:w w:val="105"/>
          <w:sz w:val="12"/>
        </w:rPr>
        <w:t>连接酶链式反应</w:t>
      </w:r>
    </w:p>
    <w:p>
      <w:pPr>
        <w:pStyle w:val="Heading1"/>
      </w:pPr>
      <w:r>
        <w:rPr>
          <w:rFonts w:hAnsi="宋体" w:eastAsia="宋体" w:ascii="宋体"/>
        </w:rPr>
        <w:br w:type="column"/>
      </w:r>
      <w:r>
        <w:rPr>
          <w:rFonts w:hAnsi="宋体" w:eastAsia="宋体" w:ascii="宋体"/>
          <w:color w:val="231F20"/>
          <w:spacing w:val="29"/>
          <w:w w:val="105"/>
        </w:rPr>
        <w:t>a b s t r a c t</w:t>
      </w:r>
    </w:p>
    <w:p>
      <w:pPr>
        <w:pStyle w:val="BodyText"/>
        <w:spacing w:before="3"/>
        <w:rPr>
          <w:rFonts w:hAnsi="宋体" w:eastAsia="宋体" w:ascii="宋体"/>
          <w:sz w:val="11"/>
        </w:rPr>
      </w:pPr>
      <w:r>
        <w:rPr>
          <w:rFonts w:hAnsi="宋体" w:eastAsia="宋体" w:ascii="宋体"/>
        </w:rPr>
        <w:pict>
          <v:rect style="position:absolute;margin-left:206.929001pt;margin-top:7.971823pt;width:354.614pt;height:.28348pt;mso-position-horizontal-relative:page;mso-position-vertical-relative:paragraph;z-index:-15727616;mso-wrap-distance-left:0;mso-wrap-distance-right:0" id="docshape7" filled="true" fillcolor="#231f20" stroked="false">
            <v:fill type="solid"/>
            <w10:wrap type="topAndBottom"/>
          </v:rect>
        </w:pict>
      </w:r>
    </w:p>
    <w:p>
      <w:pPr>
        <w:spacing w:line="273" w:lineRule="auto" w:before="43"/>
        <w:ind w:left="290" w:right="107" w:firstLine="0"/>
        <w:jc w:val="both"/>
        <w:rPr>
          <w:rFonts w:hAnsi="宋体" w:eastAsia="宋体" w:ascii="宋体"/>
          <w:sz w:val="14"/>
        </w:rPr>
      </w:pPr>
      <w:r>
        <w:rPr>
          <w:rFonts w:hAnsi="宋体" w:eastAsia="宋体" w:ascii="宋体"/>
          <w:color w:val="231F20"/>
          <w:sz w:val="14"/>
        </w:rPr>
        <w:t>聚合酶链反应是分子生物学的基础，是研究实验室最重要的实用分子技术。我们已经开发并测试了用于聚合酶链反应引物和探针设计的有效工具，这些工具也基于对聚合酶链反应效率的实验研究来预测寡核苷酸的特性。这些工具为大多数聚合酶链反应应用及其组合设计引物提供了全面的工具，包括标准、多重、长距离、反向、实时、独特、组特异性、亚硫酸氢盐修饰分析、重叠-延伸聚合酶链反应多片段组装，以及通过连接酶链式反应设计用于长序列组装的寡核苷酸组的程序。电子聚合酶链反应引物或探针搜索包括对单个引物和引物对的综合分析。它计算标准和简并寡核苷酸(包括LNA和其他修饰)的解链温度，为一组引物提供分析，预测寡核苷酸特性、二聚体和G-四链体检测、语言复杂性，并提供稀释和再悬浮计算器。</w:t>
      </w:r>
    </w:p>
    <w:p>
      <w:pPr>
        <w:spacing w:line="160" w:lineRule="exact" w:before="0"/>
        <w:ind w:left="4754" w:right="0" w:firstLine="0"/>
        <w:jc w:val="both"/>
        <w:rPr>
          <w:rFonts w:hAnsi="宋体" w:eastAsia="宋体" w:ascii="宋体"/>
          <w:sz w:val="14"/>
        </w:rPr>
      </w:pPr>
      <w:r>
        <w:rPr>
          <w:rFonts w:hAnsi="宋体" w:eastAsia="宋体" w:ascii="宋体"/>
          <w:color w:val="231F20"/>
          <w:sz w:val="14"/>
        </w:rPr>
        <w:t>2011爱思唯尔公司版权所有。</w:t>
      </w:r>
    </w:p>
    <w:p>
      <w:pPr>
        <w:spacing w:after="0" w:line="160" w:lineRule="exact"/>
        <w:jc w:val="both"/>
        <w:rPr>
          <w:rFonts w:hAnsi="宋体" w:eastAsia="宋体" w:ascii="宋体"/>
          <w:sz w:val="14"/>
        </w:rPr>
        <w:sectPr>
          <w:type w:val="continuous"/>
          <w:pgSz w:w="11910" w:h="15880"/>
          <w:pgMar w:header="0" w:footer="0" w:top="640" w:bottom="280" w:left="560" w:right="560"/>
          <w:cols w:num="2" w:equalWidth="0">
            <w:col w:w="2310" w:space="978"/>
            <w:col w:w="7502"/>
          </w:cols>
        </w:sectPr>
      </w:pPr>
    </w:p>
    <w:p>
      <w:pPr>
        <w:pStyle w:val="BodyText"/>
        <w:spacing w:before="5"/>
        <w:rPr>
          <w:rFonts w:hAnsi="宋体" w:eastAsia="宋体" w:ascii="宋体"/>
          <w:sz w:val="17"/>
        </w:rPr>
      </w:pPr>
    </w:p>
    <w:p>
      <w:pPr>
        <w:tabs>
          <w:tab w:pos="3578" w:val="left" w:leader="none"/>
        </w:tabs>
        <w:spacing w:line="20" w:lineRule="exact"/>
        <w:ind w:left="290" w:right="0" w:firstLine="0"/>
        <w:rPr>
          <w:rFonts w:hAnsi="宋体" w:eastAsia="宋体" w:ascii="宋体"/>
          <w:sz w:val="2"/>
        </w:rPr>
      </w:pPr>
      <w:r>
        <w:rPr>
          <w:rFonts w:hAnsi="宋体" w:eastAsia="宋体" w:ascii="宋体"/>
          <w:sz w:val="2"/>
        </w:rPr>
        <w:pict>
          <v:group style="width:133.550pt;height:.3pt;mso-position-horizontal-relative:char;mso-position-vertical-relative:line" id="docshapegroup8" coordorigin="0,0" coordsize="2671,6">
            <v:rect style="position:absolute;left:0;top:0;width:2671;height:6" id="docshape9" filled="true" fillcolor="#231f20" stroked="false">
              <v:fill type="solid"/>
            </v:rect>
          </v:group>
        </w:pict>
      </w:r>
      <w:r>
        <w:rPr>
          <w:rFonts w:hAnsi="宋体" w:eastAsia="宋体" w:ascii="宋体"/>
          <w:sz w:val="2"/>
        </w:rPr>
      </w:r>
      <w:r>
        <w:rPr>
          <w:rFonts w:hAnsi="宋体" w:eastAsia="宋体" w:ascii="宋体"/>
          <w:sz w:val="2"/>
        </w:rPr>
        <w:tab/>
      </w:r>
      <w:r>
        <w:rPr>
          <w:rFonts w:hAnsi="宋体" w:eastAsia="宋体" w:ascii="宋体"/>
          <w:sz w:val="2"/>
        </w:rPr>
        <w:pict>
          <v:group style="width:354.65pt;height:.3pt;mso-position-horizontal-relative:char;mso-position-vertical-relative:line" id="docshapegroup10" coordorigin="0,0" coordsize="7093,6">
            <v:rect style="position:absolute;left:0;top:0;width:7093;height:6" id="docshape11" filled="true" fillcolor="#231f20" stroked="false">
              <v:fill type="solid"/>
            </v:rect>
          </v:group>
        </w:pict>
      </w:r>
      <w:r>
        <w:rPr>
          <w:rFonts w:hAnsi="宋体" w:eastAsia="宋体" w:ascii="宋体"/>
          <w:sz w:val="2"/>
        </w:rPr>
      </w:r>
    </w:p>
    <w:p>
      <w:pPr>
        <w:pStyle w:val="BodyText"/>
        <w:spacing w:before="1"/>
        <w:rPr>
          <w:rFonts w:hAnsi="宋体" w:eastAsia="宋体" w:ascii="宋体"/>
          <w:sz w:val="18"/>
        </w:rPr>
      </w:pPr>
    </w:p>
    <w:p>
      <w:pPr>
        <w:spacing w:after="0"/>
        <w:rPr>
          <w:rFonts w:hAnsi="宋体" w:eastAsia="宋体" w:ascii="宋体"/>
          <w:sz w:val="18"/>
        </w:rPr>
        <w:sectPr>
          <w:type w:val="continuous"/>
          <w:pgSz w:w="11910" w:h="15880"/>
          <w:pgMar w:header="0" w:footer="0" w:top="640" w:bottom="280" w:left="560" w:right="560"/>
        </w:sectPr>
      </w:pPr>
    </w:p>
    <w:p>
      <w:pPr>
        <w:pStyle w:val="ListParagraph"/>
        <w:numPr>
          <w:ilvl w:val="0"/>
          <w:numId w:val="1"/>
        </w:numPr>
        <w:tabs>
          <w:tab w:pos="475" w:val="left" w:leader="none"/>
        </w:tabs>
        <w:spacing w:line="240" w:lineRule="auto" w:before="100" w:after="0"/>
        <w:ind w:left="474" w:right="0" w:hanging="185"/>
        <w:jc w:val="left"/>
        <w:rPr>
          <w:rFonts w:hAnsi="宋体" w:eastAsia="宋体" w:ascii="宋体"/>
          <w:sz w:val="16"/>
        </w:rPr>
      </w:pPr>
      <w:bookmarkStart w:name="1. Introduction" w:id="6"/>
      <w:bookmarkEnd w:id="6"/>
      <w:r>
        <w:rPr>
          <w:rFonts w:hAnsi="宋体" w:eastAsia="宋体" w:ascii="宋体"/>
        </w:rPr>
      </w:r>
      <w:bookmarkStart w:name="1. Introduction" w:id="7"/>
      <w:bookmarkEnd w:id="7"/>
      <w:r>
        <w:rPr>
          <w:rFonts w:hAnsi="宋体" w:eastAsia="宋体" w:ascii="宋体"/>
          <w:color w:val="231F20"/>
          <w:w w:val="105"/>
          <w:sz w:val="16"/>
        </w:rPr>
        <w:t>介绍</w:t>
      </w:r>
    </w:p>
    <w:p>
      <w:pPr>
        <w:pStyle w:val="BodyText"/>
        <w:spacing w:before="9"/>
        <w:rPr>
          <w:rFonts w:hAnsi="宋体" w:eastAsia="宋体" w:ascii="宋体"/>
          <w:sz w:val="18"/>
        </w:rPr>
      </w:pPr>
    </w:p>
    <w:p>
      <w:pPr>
        <w:pStyle w:val="BodyText"/>
        <w:spacing w:line="261" w:lineRule="auto" w:before="1"/>
        <w:ind w:left="290" w:right="7" w:firstLine="239"/>
        <w:jc w:val="both"/>
      </w:pPr>
      <w:r>
        <w:rPr>
          <w:rFonts w:hAnsi="宋体" w:eastAsia="宋体" w:ascii="宋体"/>
          <w:color w:val="231F20"/>
          <w:w w:val="95"/>
        </w:rPr>
        <w:t>聚合酶链反应是分子生物学的基础，也是研究实验室最重要的实用分子技术。然而，该方法的实用性依赖于鉴定独特的引物序列和设计高效的引物。引物设计是所有类型PCR方法中的关键步骤，以确保靶序列的特异性和高效扩增</w:t>
      </w:r>
      <w:bookmarkStart w:name="2. Results" w:id="8"/>
      <w:bookmarkEnd w:id="8"/>
      <w:bookmarkStart w:name="2.1. PCR primer design generalities" w:id="9"/>
      <w:bookmarkEnd w:id="9"/>
      <w:hyperlink w:history="true" w:anchor="_bookmark13">
        <w:r>
          <w:rPr>
            <w:rFonts w:hAnsi="宋体" w:eastAsia="宋体" w:ascii="宋体"/>
            <w:color w:val="2E3092"/>
            <w:w w:val="103"/>
          </w:rPr>
          <w:t>[1–10]</w:t>
        </w:r>
      </w:hyperlink>
      <w:r>
        <w:rPr>
          <w:rFonts w:hAnsi="宋体" w:eastAsia="宋体" w:ascii="宋体"/>
          <w:color w:val="231F20"/>
          <w:w w:val="82"/>
        </w:rPr>
        <w:t>。尽管目前有许多在线的和商业的生物信息学工具，用于聚合酶链反应的引物设计仍然不如常规使用的那样方便和实用。聚合酶链反应适应不同的应用使得有必要为聚合酶链反应引物和探针设计开发新的标准，以涵盖诸如逆转录聚合酶链反应、定量聚合酶链反应、群体特异性</w:t>
      </w:r>
      <w:hyperlink w:history="true" w:anchor="_bookmark14">
        <w:r>
          <w:rPr>
            <w:rFonts w:hAnsi="宋体" w:eastAsia="宋体" w:ascii="宋体"/>
            <w:color w:val="2E3092"/>
            <w:spacing w:val="-1"/>
          </w:rPr>
          <w:t>[2,6–8,11] </w:t>
        </w:r>
      </w:hyperlink>
      <w:r>
        <w:rPr>
          <w:rFonts w:hAnsi="宋体" w:eastAsia="宋体" w:ascii="宋体"/>
          <w:color w:val="231F20"/>
          <w:spacing w:val="-1"/>
        </w:rPr>
        <w:t>独特的聚合酶链反应，多重聚合酶链反应中多引物的组合，简单序列重复的发现及其作为诊断标记的扩增，IRAP/REMAP</w:t>
      </w:r>
      <w:hyperlink w:history="true" w:anchor="_bookmark17">
        <w:r>
          <w:rPr>
            <w:rFonts w:hAnsi="宋体" w:eastAsia="宋体" w:ascii="宋体"/>
            <w:color w:val="2E3092"/>
            <w:w w:val="95"/>
          </w:rPr>
          <w:t>[12]</w:t>
        </w:r>
      </w:hyperlink>
      <w:r>
        <w:rPr>
          <w:rFonts w:hAnsi="宋体" w:eastAsia="宋体" w:ascii="宋体"/>
          <w:color w:val="231F20"/>
          <w:w w:val="95"/>
        </w:rPr>
        <w:t>、TaqMan以及分子信标和微阵列寡核苷酸。</w:t>
      </w:r>
    </w:p>
    <w:p>
      <w:pPr>
        <w:pStyle w:val="BodyText"/>
        <w:spacing w:line="261" w:lineRule="auto"/>
        <w:ind w:left="290" w:right="7" w:firstLine="239"/>
        <w:jc w:val="both"/>
      </w:pPr>
      <w:r>
        <w:rPr>
          <w:rFonts w:hAnsi="宋体" w:eastAsia="宋体" w:ascii="宋体"/>
          <w:color w:val="231F20"/>
        </w:rPr>
        <w:t>在开发Java网络工具(</w:t>
      </w:r>
      <w:hyperlink w:history="true" w:anchor="_bookmark5">
        <w:r>
          <w:rPr>
            <w:rFonts w:hAnsi="宋体" w:eastAsia="宋体" w:ascii="宋体"/>
            <w:color w:val="2E3092"/>
          </w:rPr>
          <w:t>Table 1</w:t>
        </w:r>
      </w:hyperlink>
      <w:r>
        <w:rPr>
          <w:rFonts w:hAnsi="宋体" w:eastAsia="宋体" w:ascii="宋体"/>
          <w:color w:val="231F20"/>
        </w:rPr>
        <w:t>)，我们的目标是为大多数聚合酶链反应应用程序的常规操作和序列分析创建实用且易于使用的软件。所采用的参数基于我们用于高效聚合酶链反应的实验数据，并被转化为算法，以设计最佳扩增的引物对组合。Java网络工具基于我们的</w:t>
      </w:r>
    </w:p>
    <w:p>
      <w:pPr>
        <w:pStyle w:val="BodyText"/>
        <w:spacing w:before="8"/>
        <w:rPr>
          <w:rFonts w:hAnsi="宋体" w:eastAsia="宋体" w:ascii="宋体"/>
          <w:sz w:val="19"/>
        </w:rPr>
      </w:pPr>
      <w:r>
        <w:rPr>
          <w:rFonts w:hAnsi="宋体" w:eastAsia="宋体" w:ascii="宋体"/>
        </w:rPr>
        <w:pict>
          <v:shape style="position:absolute;margin-left:42.52pt;margin-top:13.024453pt;width:35.9pt;height:.1pt;mso-position-horizontal-relative:page;mso-position-vertical-relative:paragraph;z-index:-15726080;mso-wrap-distance-left:0;mso-wrap-distance-right:0" id="docshape12" coordorigin="850,260" coordsize="718,0" path="m850,260l1568,260e" filled="false" stroked="true" strokeweight=".227pt" strokecolor="#231f20">
            <v:path arrowok="t"/>
            <v:stroke dashstyle="solid"/>
            <w10:wrap type="topAndBottom"/>
          </v:shape>
        </w:pict>
      </w:r>
    </w:p>
    <w:p>
      <w:pPr>
        <w:spacing w:line="285" w:lineRule="auto" w:before="102"/>
        <w:ind w:left="290" w:right="53" w:firstLine="103"/>
        <w:jc w:val="left"/>
        <w:rPr>
          <w:rFonts w:hAnsi="宋体" w:eastAsia="宋体" w:ascii="宋体"/>
          <w:sz w:val="12"/>
        </w:rPr>
      </w:pPr>
      <w:bookmarkStart w:name="_bookmark4" w:id="10"/>
      <w:bookmarkEnd w:id="10"/>
      <w:r>
        <w:rPr>
          <w:rFonts w:hAnsi="宋体" w:eastAsia="宋体" w:ascii="宋体"/>
        </w:rPr>
      </w:r>
      <w:r>
        <w:rPr>
          <w:rFonts w:hAnsi="宋体" w:eastAsia="宋体" w:ascii="宋体"/>
          <w:color w:val="231F20"/>
          <w:w w:val="110"/>
          <w:sz w:val="12"/>
        </w:rPr>
        <w:t>*通讯作者在:芬兰赫尔辛基FIN-00014邮政信箱65号赫尔辛基大学生物技术研究所MTT/BI植物基因组学实验室。</w:t>
      </w:r>
    </w:p>
    <w:p>
      <w:pPr>
        <w:spacing w:line="283" w:lineRule="auto" w:before="0"/>
        <w:ind w:left="290" w:right="53" w:firstLine="239"/>
        <w:jc w:val="left"/>
        <w:rPr>
          <w:rFonts w:hAnsi="宋体" w:eastAsia="宋体" w:ascii="宋体"/>
          <w:sz w:val="12"/>
        </w:rPr>
      </w:pPr>
      <w:r>
        <w:rPr>
          <w:rFonts w:hAnsi="宋体" w:eastAsia="宋体" w:ascii="宋体"/>
          <w:i/>
          <w:color w:val="231F20"/>
          <w:w w:val="105"/>
          <w:sz w:val="12"/>
        </w:rPr>
        <w:t>电子邮件地址:</w:t>
      </w:r>
      <w:hyperlink r:id="rId10">
        <w:r>
          <w:rPr>
            <w:rFonts w:hAnsi="宋体" w:eastAsia="宋体" w:ascii="宋体"/>
            <w:color w:val="2E3092"/>
            <w:w w:val="105"/>
            <w:sz w:val="12"/>
          </w:rPr>
          <w:t>ruslan.kalendar @赫尔辛基. fi</w:t>
        </w:r>
      </w:hyperlink>
      <w:r>
        <w:rPr>
          <w:rFonts w:hAnsi="宋体" w:eastAsia="宋体" w:ascii="宋体"/>
          <w:color w:val="231F20"/>
          <w:w w:val="105"/>
          <w:sz w:val="12"/>
        </w:rPr>
        <w:t>(R. Kalendar)，</w:t>
      </w:r>
      <w:hyperlink r:id="rId11">
        <w:r>
          <w:rPr>
            <w:rFonts w:hAnsi="宋体" w:eastAsia="宋体" w:ascii="宋体"/>
            <w:color w:val="2E3092"/>
            <w:w w:val="105"/>
            <w:sz w:val="12"/>
          </w:rPr>
          <w:t>david.lee@niab.com</w:t>
        </w:r>
      </w:hyperlink>
      <w:r>
        <w:rPr>
          <w:rFonts w:hAnsi="宋体" w:eastAsia="宋体" w:ascii="宋体"/>
          <w:color w:val="231F20"/>
          <w:spacing w:val="-32"/>
          <w:w w:val="105"/>
          <w:sz w:val="12"/>
        </w:rPr>
        <w:t>(李德全)，</w:t>
      </w:r>
      <w:hyperlink r:id="rId12">
        <w:r>
          <w:rPr>
            <w:rFonts w:hAnsi="宋体" w:eastAsia="宋体" w:ascii="宋体"/>
            <w:color w:val="2E3092"/>
            <w:w w:val="105"/>
            <w:sz w:val="12"/>
          </w:rPr>
          <w:t>alan.schulman @赫尔辛基. fi</w:t>
        </w:r>
      </w:hyperlink>
      <w:r>
        <w:rPr>
          <w:rFonts w:hAnsi="宋体" w:eastAsia="宋体" w:ascii="宋体"/>
          <w:color w:val="231F20"/>
          <w:w w:val="105"/>
          <w:sz w:val="12"/>
        </w:rPr>
        <w:t>(舒尔曼)。</w:t>
      </w:r>
    </w:p>
    <w:p>
      <w:pPr>
        <w:pStyle w:val="BodyText"/>
        <w:spacing w:line="261" w:lineRule="auto" w:before="100"/>
        <w:ind w:left="287" w:right="111"/>
        <w:jc w:val="both"/>
      </w:pPr>
      <w:r>
        <w:rPr>
          <w:rFonts w:hAnsi="宋体" w:eastAsia="宋体" w:ascii="宋体"/>
        </w:rPr>
        <w:br w:type="column"/>
      </w:r>
      <w:r>
        <w:rPr>
          <w:rFonts w:hAnsi="宋体" w:eastAsia="宋体" w:ascii="宋体"/>
          <w:color w:val="231F20"/>
        </w:rPr>
        <w:t>视窗快速聚合酶链反应软件</w:t>
      </w:r>
      <w:hyperlink w:history="true" w:anchor="_bookmark14">
        <w:r>
          <w:rPr>
            <w:rFonts w:hAnsi="宋体" w:eastAsia="宋体" w:ascii="宋体"/>
            <w:color w:val="2E3092"/>
          </w:rPr>
          <w:t>[2] </w:t>
        </w:r>
      </w:hyperlink>
      <w:r>
        <w:rPr>
          <w:rFonts w:hAnsi="宋体" w:eastAsia="宋体" w:ascii="宋体"/>
          <w:color w:val="231F20"/>
        </w:rPr>
        <w:t>并且一起成功地在整个科学界广泛应用于与聚合酶链反应相关的应用中。</w:t>
      </w:r>
    </w:p>
    <w:p>
      <w:pPr>
        <w:pStyle w:val="BodyText"/>
        <w:spacing w:before="3"/>
        <w:rPr>
          <w:rFonts w:hAnsi="宋体" w:eastAsia="宋体" w:ascii="宋体"/>
          <w:sz w:val="17"/>
        </w:rPr>
      </w:pPr>
    </w:p>
    <w:p>
      <w:pPr>
        <w:pStyle w:val="ListParagraph"/>
        <w:numPr>
          <w:ilvl w:val="0"/>
          <w:numId w:val="1"/>
        </w:numPr>
        <w:tabs>
          <w:tab w:pos="472" w:val="left" w:leader="none"/>
        </w:tabs>
        <w:spacing w:line="240" w:lineRule="auto" w:before="0" w:after="0"/>
        <w:ind w:left="471" w:right="0" w:hanging="185"/>
        <w:jc w:val="left"/>
        <w:rPr>
          <w:rFonts w:hAnsi="宋体" w:eastAsia="宋体" w:ascii="宋体"/>
          <w:sz w:val="16"/>
        </w:rPr>
      </w:pPr>
      <w:r>
        <w:rPr>
          <w:rFonts w:hAnsi="宋体" w:eastAsia="宋体" w:ascii="宋体"/>
          <w:color w:val="231F20"/>
          <w:sz w:val="16"/>
        </w:rPr>
        <w:t>结果</w:t>
      </w:r>
    </w:p>
    <w:p>
      <w:pPr>
        <w:pStyle w:val="BodyText"/>
        <w:spacing w:before="4"/>
        <w:rPr>
          <w:rFonts w:hAnsi="宋体" w:eastAsia="宋体" w:ascii="宋体"/>
          <w:sz w:val="19"/>
        </w:rPr>
      </w:pPr>
    </w:p>
    <w:p>
      <w:pPr>
        <w:pStyle w:val="ListParagraph"/>
        <w:numPr>
          <w:ilvl w:val="1"/>
          <w:numId w:val="1"/>
        </w:numPr>
        <w:tabs>
          <w:tab w:pos="587" w:val="left" w:leader="none"/>
        </w:tabs>
        <w:spacing w:line="240" w:lineRule="auto" w:before="0" w:after="0"/>
        <w:ind w:left="586" w:right="0" w:hanging="300"/>
        <w:jc w:val="left"/>
        <w:rPr>
          <w:rFonts w:hAnsi="宋体" w:eastAsia="宋体" w:ascii="宋体"/>
          <w:i/>
          <w:sz w:val="16"/>
        </w:rPr>
      </w:pPr>
      <w:r>
        <w:rPr>
          <w:rFonts w:hAnsi="宋体" w:eastAsia="宋体" w:ascii="宋体"/>
          <w:i/>
          <w:color w:val="231F20"/>
          <w:sz w:val="16"/>
        </w:rPr>
        <w:t>聚合酶链反应引物设计概述</w:t>
      </w:r>
    </w:p>
    <w:p>
      <w:pPr>
        <w:pStyle w:val="BodyText"/>
        <w:spacing w:before="2"/>
        <w:rPr>
          <w:rFonts w:hAnsi="宋体" w:eastAsia="宋体" w:ascii="宋体"/>
          <w:i/>
          <w:sz w:val="19"/>
        </w:rPr>
      </w:pPr>
    </w:p>
    <w:p>
      <w:pPr>
        <w:pStyle w:val="BodyText"/>
        <w:spacing w:line="261" w:lineRule="auto"/>
        <w:ind w:left="287" w:right="110" w:firstLine="239"/>
        <w:jc w:val="both"/>
      </w:pPr>
      <w:r>
        <w:rPr>
          <w:rFonts w:hAnsi="宋体" w:eastAsia="宋体" w:ascii="宋体"/>
          <w:color w:val="231F20"/>
          <w:spacing w:val="-1"/>
        </w:rPr>
        <w:t>引物设计是聚合酶链反应成功的关键步骤之一。对于聚合酶链反应应用，引物长度通常为18-35个碱基，设计时应确保它们与待扩增的目标片段具有完全的序列同一性。这些参数可由用户控制或自动控制，包括引物长度(12–500 nt)、由最近邻热力学参数计算的短引物的解链温度、理论引物聚合酶链反应效率(质量%)值、引物CG含量、3’末端末端强制、退化公式中优选的3’末端核苷酸序列组成以及5’末端添加的序列标签。用于引物选择的其他主要参数是:引物的一般核苷酸结构，如语言复杂性(核苷酸排列和组成)；特异性；整个底漆的熔化温度和3′和5′端的熔化温度；自我互补；次级(非特异性)结合。</w:t>
      </w:r>
    </w:p>
    <w:p>
      <w:pPr>
        <w:pStyle w:val="BodyText"/>
        <w:spacing w:line="261" w:lineRule="auto"/>
        <w:ind w:left="287" w:right="111" w:firstLine="239"/>
        <w:jc w:val="both"/>
      </w:pPr>
      <w:r>
        <w:rPr>
          <w:rFonts w:hAnsi="宋体" w:eastAsia="宋体" w:ascii="宋体"/>
          <w:color w:val="231F20"/>
        </w:rPr>
        <w:t>该软件可以动态优化输入参数的最佳引物长度。所有PCR引物(探针)的设计参数都是灵活的，并可根据所分析序列和任务的具体情况而变化。分析引物对的交叉杂交、两个引物的特异性，并任选地选择相似的</w:t>
      </w:r>
    </w:p>
    <w:p>
      <w:pPr>
        <w:spacing w:after="0" w:line="261" w:lineRule="auto"/>
        <w:jc w:val="both"/>
        <w:sectPr>
          <w:type w:val="continuous"/>
          <w:pgSz w:w="11910" w:h="15880"/>
          <w:pgMar w:header="0" w:footer="0" w:top="640" w:bottom="280" w:left="560" w:right="560"/>
          <w:cols w:num="2" w:equalWidth="0">
            <w:col w:w="5323" w:space="40"/>
            <w:col w:w="5427"/>
          </w:cols>
        </w:sectPr>
      </w:pPr>
    </w:p>
    <w:p>
      <w:pPr>
        <w:pStyle w:val="BodyText"/>
        <w:spacing w:before="2"/>
        <w:rPr>
          <w:rFonts w:hAnsi="宋体" w:eastAsia="宋体" w:ascii="宋体"/>
          <w:sz w:val="13"/>
        </w:rPr>
      </w:pPr>
    </w:p>
    <w:p>
      <w:pPr>
        <w:spacing w:line="285" w:lineRule="auto" w:before="0"/>
        <w:ind w:left="290" w:right="6249" w:firstLine="0"/>
        <w:jc w:val="left"/>
        <w:rPr>
          <w:rFonts w:hAnsi="宋体" w:eastAsia="宋体" w:ascii="宋体"/>
          <w:sz w:val="12"/>
        </w:rPr>
      </w:pPr>
      <w:r>
        <w:rPr>
          <w:rFonts w:hAnsi="宋体" w:eastAsia="宋体" w:ascii="宋体"/>
          <w:color w:val="231F20"/>
          <w:w w:val="110"/>
          <w:sz w:val="12"/>
        </w:rPr>
        <w:t>0888-7543/$–参见前面的事项2011爱思唯尔公司。保留所有权利。doi:</w:t>
      </w:r>
      <w:hyperlink r:id="rId9">
        <w:r>
          <w:rPr>
            <w:rFonts w:hAnsi="宋体" w:eastAsia="宋体" w:ascii="宋体"/>
            <w:color w:val="2E3092"/>
            <w:w w:val="115"/>
            <w:sz w:val="12"/>
          </w:rPr>
          <w:t>10.1016/j.ygeno.2011.04.009</w:t>
        </w:r>
      </w:hyperlink>
    </w:p>
    <w:p>
      <w:pPr>
        <w:spacing w:after="0" w:line="285" w:lineRule="auto"/>
        <w:jc w:val="left"/>
        <w:rPr>
          <w:rFonts w:hAnsi="宋体" w:eastAsia="宋体" w:ascii="宋体"/>
          <w:sz w:val="12"/>
        </w:rPr>
        <w:sectPr>
          <w:type w:val="continuous"/>
          <w:pgSz w:w="11910" w:h="15880"/>
          <w:pgMar w:header="0" w:footer="0" w:top="640" w:bottom="280" w:left="560" w:right="560"/>
        </w:sectPr>
      </w:pPr>
    </w:p>
    <w:p>
      <w:pPr>
        <w:pStyle w:val="BodyText"/>
        <w:spacing w:before="9"/>
        <w:rPr>
          <w:rFonts w:hAnsi="宋体" w:eastAsia="宋体" w:ascii="宋体"/>
          <w:sz w:val="10"/>
        </w:rPr>
      </w:pPr>
    </w:p>
    <w:p>
      <w:pPr>
        <w:spacing w:after="0"/>
        <w:rPr>
          <w:rFonts w:hAnsi="宋体" w:eastAsia="宋体" w:ascii="宋体"/>
          <w:sz w:val="10"/>
        </w:rPr>
        <w:sectPr>
          <w:headerReference w:type="even" r:id="rId13"/>
          <w:headerReference w:type="default" r:id="rId14"/>
          <w:pgSz w:w="11910" w:h="15880"/>
          <w:pgMar w:header="688" w:footer="0" w:top="880" w:bottom="280" w:left="560" w:right="560"/>
          <w:pgNumType w:start="138"/>
        </w:sectPr>
      </w:pPr>
    </w:p>
    <w:p>
      <w:pPr>
        <w:spacing w:before="119"/>
        <w:ind w:left="114" w:right="0" w:firstLine="0"/>
        <w:jc w:val="left"/>
        <w:rPr>
          <w:rFonts w:hAnsi="宋体" w:eastAsia="宋体" w:ascii="宋体"/>
          <w:sz w:val="12"/>
        </w:rPr>
      </w:pPr>
      <w:bookmarkStart w:name="2.2. Melting temperature (Tm) calculatio" w:id="11"/>
      <w:bookmarkEnd w:id="11"/>
      <w:r>
        <w:rPr>
          <w:rFonts w:hAnsi="宋体" w:eastAsia="宋体" w:ascii="宋体"/>
        </w:rPr>
      </w:r>
      <w:bookmarkStart w:name="2.3. Linguistic complexity of sequences;" w:id="12"/>
      <w:bookmarkEnd w:id="12"/>
      <w:r>
        <w:rPr>
          <w:rFonts w:hAnsi="宋体" w:eastAsia="宋体" w:ascii="宋体"/>
        </w:rPr>
      </w:r>
      <w:bookmarkStart w:name="_bookmark5" w:id="13"/>
      <w:bookmarkEnd w:id="13"/>
      <w:r>
        <w:rPr>
          <w:rFonts w:hAnsi="宋体" w:eastAsia="宋体" w:ascii="宋体"/>
        </w:rPr>
      </w:r>
      <w:r>
        <w:rPr>
          <w:rFonts w:hAnsi="宋体" w:eastAsia="宋体" w:ascii="宋体"/>
          <w:color w:val="231F20"/>
          <w:w w:val="105"/>
          <w:sz w:val="12"/>
        </w:rPr>
        <w:t>表1</w:t>
      </w:r>
    </w:p>
    <w:p>
      <w:pPr>
        <w:spacing w:before="27"/>
        <w:ind w:left="114" w:right="0" w:firstLine="0"/>
        <w:jc w:val="left"/>
        <w:rPr>
          <w:rFonts w:hAnsi="宋体" w:eastAsia="宋体" w:ascii="宋体"/>
          <w:sz w:val="12"/>
        </w:rPr>
      </w:pPr>
      <w:r>
        <w:rPr>
          <w:rFonts w:hAnsi="宋体" w:eastAsia="宋体" w:ascii="宋体"/>
          <w:color w:val="231F20"/>
          <w:sz w:val="12"/>
        </w:rPr>
        <w:t>用于聚合酶链反应、电子聚合酶链反应、寡核苷酸组装和分析的Java网络工具概述。</w:t>
      </w:r>
    </w:p>
    <w:p>
      <w:pPr>
        <w:pStyle w:val="BodyText"/>
        <w:spacing w:before="2"/>
        <w:rPr>
          <w:rFonts w:hAnsi="宋体" w:eastAsia="宋体" w:ascii="宋体"/>
          <w:sz w:val="5"/>
        </w:rPr>
      </w:pPr>
      <w:r>
        <w:rPr>
          <w:rFonts w:hAnsi="宋体" w:eastAsia="宋体" w:ascii="宋体"/>
        </w:rPr>
        <w:pict>
          <v:rect style="position:absolute;margin-left:33.731998pt;margin-top:4.313917pt;width:251.036pt;height:.45355pt;mso-position-horizontal-relative:page;mso-position-vertical-relative:paragraph;z-index:-15722496;mso-wrap-distance-left:0;mso-wrap-distance-right:0" id="docshape17" filled="true" fillcolor="#231f20" stroked="false">
            <v:fill type="solid"/>
            <w10:wrap type="topAndBottom"/>
          </v:rect>
        </w:pict>
      </w:r>
    </w:p>
    <w:p>
      <w:pPr>
        <w:spacing w:before="54"/>
        <w:ind w:left="233" w:right="0" w:firstLine="0"/>
        <w:jc w:val="left"/>
        <w:rPr>
          <w:rFonts w:hAnsi="宋体" w:eastAsia="宋体" w:ascii="宋体"/>
          <w:sz w:val="12"/>
        </w:rPr>
      </w:pPr>
      <w:r>
        <w:rPr>
          <w:rFonts w:hAnsi="宋体" w:eastAsia="宋体" w:ascii="宋体"/>
          <w:color w:val="231F20"/>
          <w:sz w:val="12"/>
        </w:rPr>
        <w:t>特征</w:t>
      </w:r>
    </w:p>
    <w:p>
      <w:pPr>
        <w:pStyle w:val="BodyText"/>
        <w:spacing w:before="5"/>
        <w:rPr>
          <w:rFonts w:hAnsi="宋体" w:eastAsia="宋体" w:ascii="宋体"/>
          <w:sz w:val="4"/>
        </w:rPr>
      </w:pPr>
    </w:p>
    <w:p>
      <w:pPr>
        <w:pStyle w:val="BodyText"/>
        <w:spacing w:line="20" w:lineRule="exact"/>
        <w:ind w:left="114" w:right="-15"/>
        <w:rPr>
          <w:rFonts w:hAnsi="宋体" w:eastAsia="宋体" w:ascii="宋体"/>
          <w:sz w:val="2"/>
        </w:rPr>
      </w:pPr>
      <w:r>
        <w:rPr>
          <w:rFonts w:hAnsi="宋体" w:eastAsia="宋体" w:ascii="宋体"/>
          <w:sz w:val="2"/>
        </w:rPr>
        <w:pict>
          <v:group style="width:251.05pt;height:.550pt;mso-position-horizontal-relative:char;mso-position-vertical-relative:line" id="docshapegroup18" coordorigin="0,0" coordsize="5021,11">
            <v:rect style="position:absolute;left:0;top:0;width:5021;height:11" id="docshape19" filled="true" fillcolor="#231f20" stroked="false">
              <v:fill type="solid"/>
            </v:rect>
          </v:group>
        </w:pict>
      </w:r>
      <w:r>
        <w:rPr>
          <w:rFonts w:hAnsi="宋体" w:eastAsia="宋体" w:ascii="宋体"/>
          <w:sz w:val="2"/>
        </w:rPr>
      </w:r>
    </w:p>
    <w:p>
      <w:pPr>
        <w:spacing w:line="285" w:lineRule="auto" w:before="43"/>
        <w:ind w:left="353" w:right="166" w:hanging="121"/>
        <w:jc w:val="both"/>
        <w:rPr>
          <w:rFonts w:hAnsi="宋体" w:eastAsia="宋体" w:ascii="宋体"/>
          <w:sz w:val="12"/>
        </w:rPr>
      </w:pPr>
      <w:r>
        <w:rPr>
          <w:rFonts w:hAnsi="宋体" w:eastAsia="宋体" w:ascii="宋体"/>
          <w:color w:val="231F20"/>
          <w:w w:val="105"/>
          <w:sz w:val="12"/>
        </w:rPr>
        <w:t>聚合酶链反应工具为大多数聚合酶链反应应用及其组合设计引物提供了全面的工具:</w:t>
      </w:r>
    </w:p>
    <w:p>
      <w:pPr>
        <w:spacing w:line="285" w:lineRule="auto" w:before="0"/>
        <w:ind w:left="353" w:right="168" w:hanging="121"/>
        <w:jc w:val="both"/>
        <w:rPr>
          <w:rFonts w:hAnsi="宋体" w:eastAsia="宋体" w:ascii="宋体"/>
          <w:sz w:val="12"/>
        </w:rPr>
      </w:pPr>
      <w:r>
        <w:rPr>
          <w:rFonts w:hAnsi="宋体" w:eastAsia="宋体" w:ascii="宋体"/>
          <w:color w:val="231F20"/>
          <w:w w:val="105"/>
          <w:sz w:val="12"/>
        </w:rPr>
        <w:t>标准、多重、长距离、反向、实时、独特或群体特异性、后期聚合酶链反应、亚硫酸氢盐修饰分析、聚合酶延伸聚合酶链反应多片段组装克隆；</w:t>
      </w:r>
    </w:p>
    <w:p>
      <w:pPr>
        <w:spacing w:line="285" w:lineRule="auto" w:before="0"/>
        <w:ind w:left="353" w:right="166" w:hanging="121"/>
        <w:jc w:val="both"/>
        <w:rPr>
          <w:rFonts w:hAnsi="宋体" w:eastAsia="宋体" w:ascii="宋体"/>
          <w:sz w:val="12"/>
        </w:rPr>
      </w:pPr>
      <w:r>
        <w:rPr>
          <w:rFonts w:hAnsi="宋体" w:eastAsia="宋体" w:ascii="宋体"/>
          <w:i/>
          <w:color w:val="231F20"/>
          <w:w w:val="105"/>
          <w:sz w:val="12"/>
        </w:rPr>
        <w:t>电子(虚拟)聚合酶链反应或多重引物或探针搜索，预测可能的聚合酶链反应产物，并搜索指定引物或探针的潜在不匹配位置；</w:t>
      </w:r>
    </w:p>
    <w:p>
      <w:pPr>
        <w:spacing w:line="285" w:lineRule="auto" w:before="0"/>
        <w:ind w:left="353" w:right="167" w:hanging="121"/>
        <w:jc w:val="both"/>
        <w:rPr>
          <w:rFonts w:hAnsi="宋体" w:eastAsia="宋体" w:ascii="宋体"/>
          <w:sz w:val="12"/>
        </w:rPr>
      </w:pPr>
      <w:r>
        <w:rPr>
          <w:rFonts w:hAnsi="宋体" w:eastAsia="宋体" w:ascii="宋体"/>
          <w:color w:val="231F20"/>
          <w:w w:val="105"/>
          <w:sz w:val="12"/>
        </w:rPr>
        <w:t>通过连接酶链式反应(LCR)和聚合酶链反应设计用于长序列组装的寡核苷酸组；</w:t>
      </w:r>
    </w:p>
    <w:p>
      <w:pPr>
        <w:spacing w:line="285" w:lineRule="auto" w:before="0"/>
        <w:ind w:left="353" w:right="0" w:hanging="121"/>
        <w:jc w:val="left"/>
        <w:rPr>
          <w:rFonts w:hAnsi="宋体" w:eastAsia="宋体" w:ascii="宋体"/>
          <w:sz w:val="12"/>
        </w:rPr>
      </w:pPr>
      <w:r>
        <w:rPr>
          <w:rFonts w:hAnsi="宋体" w:eastAsia="宋体" w:ascii="宋体"/>
          <w:color w:val="231F20"/>
          <w:w w:val="105"/>
          <w:sz w:val="12"/>
        </w:rPr>
        <w:t>测试单个引物，计算标准和简并寡核苷酸的解链温度，包括LNA和其他修饰；</w:t>
      </w:r>
    </w:p>
    <w:p>
      <w:pPr>
        <w:spacing w:line="285" w:lineRule="auto" w:before="0"/>
        <w:ind w:left="353" w:right="159" w:hanging="121"/>
        <w:jc w:val="left"/>
        <w:rPr>
          <w:rFonts w:hAnsi="宋体" w:eastAsia="宋体" w:ascii="宋体"/>
          <w:sz w:val="12"/>
        </w:rPr>
      </w:pPr>
      <w:r>
        <w:rPr>
          <w:rFonts w:hAnsi="宋体" w:eastAsia="宋体" w:ascii="宋体"/>
          <w:color w:val="231F20"/>
          <w:w w:val="105"/>
          <w:sz w:val="12"/>
        </w:rPr>
        <w:t>PCR效率、语言复杂性、二聚体和G-四聚体检测、稀释和再悬浮计算器；</w:t>
      </w:r>
    </w:p>
    <w:p>
      <w:pPr>
        <w:spacing w:line="285" w:lineRule="auto" w:before="0"/>
        <w:ind w:left="353" w:right="163" w:hanging="121"/>
        <w:jc w:val="left"/>
        <w:rPr>
          <w:rFonts w:hAnsi="宋体" w:eastAsia="宋体" w:ascii="宋体"/>
          <w:sz w:val="12"/>
        </w:rPr>
      </w:pPr>
      <w:r>
        <w:rPr>
          <w:rFonts w:hAnsi="宋体" w:eastAsia="宋体" w:ascii="宋体"/>
          <w:color w:val="231F20"/>
          <w:w w:val="105"/>
          <w:sz w:val="12"/>
        </w:rPr>
        <w:t>同时分析多个引物的特征，包括Tm、GC含量、语言复杂性、二聚体形成；最优Ta；</w:t>
      </w:r>
    </w:p>
    <w:p>
      <w:pPr>
        <w:spacing w:line="143" w:lineRule="exact" w:before="0"/>
        <w:ind w:left="233" w:right="0" w:firstLine="0"/>
        <w:jc w:val="left"/>
        <w:rPr>
          <w:rFonts w:hAnsi="宋体" w:eastAsia="宋体" w:ascii="宋体"/>
          <w:sz w:val="12"/>
        </w:rPr>
      </w:pPr>
      <w:r>
        <w:rPr>
          <w:rFonts w:hAnsi="宋体" w:eastAsia="宋体" w:ascii="宋体"/>
          <w:color w:val="231F20"/>
          <w:w w:val="105"/>
          <w:sz w:val="12"/>
        </w:rPr>
        <w:t>简单序列重复位点的鉴定；</w:t>
      </w:r>
    </w:p>
    <w:p>
      <w:pPr>
        <w:spacing w:line="285" w:lineRule="auto" w:before="22"/>
        <w:ind w:left="353" w:right="166" w:hanging="121"/>
        <w:jc w:val="both"/>
        <w:rPr>
          <w:rFonts w:hAnsi="宋体" w:eastAsia="宋体" w:ascii="宋体"/>
          <w:sz w:val="12"/>
        </w:rPr>
      </w:pPr>
      <w:r>
        <w:rPr>
          <w:rFonts w:hAnsi="宋体" w:eastAsia="宋体" w:ascii="宋体"/>
          <w:color w:val="231F20"/>
          <w:w w:val="110"/>
          <w:sz w:val="12"/>
        </w:rPr>
        <w:t>序列的模式分析包括(G-C)/(G+C)、(A-T)/(A+T)、(S-W)/(S+W)和嘌呤-嘧啶(R-Y)/(R+Y)偏斜、CG%含量、引物质量、Tm和语言序列复杂性</w:t>
      </w:r>
    </w:p>
    <w:p>
      <w:pPr>
        <w:spacing w:line="143" w:lineRule="exact" w:before="0"/>
        <w:ind w:left="233" w:right="0" w:firstLine="0"/>
        <w:jc w:val="both"/>
        <w:rPr>
          <w:rFonts w:hAnsi="宋体" w:eastAsia="宋体" w:ascii="宋体"/>
          <w:sz w:val="12"/>
        </w:rPr>
      </w:pPr>
      <w:r>
        <w:rPr>
          <w:rFonts w:hAnsi="宋体" w:eastAsia="宋体" w:ascii="宋体"/>
          <w:color w:val="231F20"/>
          <w:w w:val="105"/>
          <w:sz w:val="12"/>
        </w:rPr>
        <w:t>生成移液表，用于建立聚合酶链反应或定量聚合酶链反应。</w:t>
      </w:r>
    </w:p>
    <w:p>
      <w:pPr>
        <w:pStyle w:val="BodyText"/>
        <w:spacing w:before="6"/>
        <w:rPr>
          <w:rFonts w:hAnsi="宋体" w:eastAsia="宋体" w:ascii="宋体"/>
          <w:sz w:val="4"/>
        </w:rPr>
      </w:pPr>
    </w:p>
    <w:p>
      <w:pPr>
        <w:pStyle w:val="BodyText"/>
        <w:spacing w:line="20" w:lineRule="exact"/>
        <w:ind w:left="114" w:right="-15"/>
        <w:rPr>
          <w:rFonts w:hAnsi="宋体" w:eastAsia="宋体" w:ascii="宋体"/>
          <w:sz w:val="2"/>
        </w:rPr>
      </w:pPr>
      <w:r>
        <w:rPr>
          <w:rFonts w:hAnsi="宋体" w:eastAsia="宋体" w:ascii="宋体"/>
          <w:sz w:val="2"/>
        </w:rPr>
        <w:pict>
          <v:group style="width:251.05pt;height:.5pt;mso-position-horizontal-relative:char;mso-position-vertical-relative:line" id="docshapegroup20" coordorigin="0,0" coordsize="5021,10">
            <v:rect style="position:absolute;left:0;top:0;width:5021;height:10" id="docshape21" filled="true" fillcolor="#231f20" stroked="false">
              <v:fill type="solid"/>
            </v:rect>
          </v:group>
        </w:pict>
      </w:r>
      <w:r>
        <w:rPr>
          <w:rFonts w:hAnsi="宋体" w:eastAsia="宋体" w:ascii="宋体"/>
          <w:sz w:val="2"/>
        </w:rPr>
      </w:r>
    </w:p>
    <w:p>
      <w:pPr>
        <w:pStyle w:val="BodyText"/>
      </w:pPr>
    </w:p>
    <w:p>
      <w:pPr>
        <w:pStyle w:val="BodyText"/>
        <w:spacing w:line="261" w:lineRule="auto" w:before="118"/>
        <w:ind w:left="114" w:right="45"/>
        <w:jc w:val="both"/>
      </w:pPr>
      <w:r>
        <w:rPr>
          <w:rFonts w:hAnsi="宋体" w:eastAsia="宋体" w:ascii="宋体"/>
          <w:color w:val="231F20"/>
        </w:rPr>
        <w:t>熔化温度。具有平衡熔化温度(彼此在1–6℃范围内)的底漆是可取的，但不是强制性的。默认的底漆设计选择标准如所示</w:t>
      </w:r>
      <w:hyperlink w:history="true" w:anchor="_bookmark6">
        <w:r>
          <w:rPr>
            <w:rFonts w:hAnsi="宋体" w:eastAsia="宋体" w:ascii="宋体"/>
            <w:color w:val="2E3092"/>
          </w:rPr>
          <w:t>Table 2</w:t>
        </w:r>
      </w:hyperlink>
      <w:r>
        <w:rPr>
          <w:rFonts w:hAnsi="宋体" w:eastAsia="宋体" w:ascii="宋体"/>
          <w:color w:val="231F20"/>
        </w:rPr>
        <w:t>。可以使用预先设计的引物或探针，或者，预先设计的引物可以作为设计新引物的参考。该程序接受预先设计的寡核苷酸序列列表，并检查每个引物与新设计的引物或探针的相容性。</w:t>
      </w:r>
    </w:p>
    <w:p>
      <w:pPr>
        <w:pStyle w:val="BodyText"/>
        <w:spacing w:line="261" w:lineRule="auto"/>
        <w:ind w:left="114" w:right="45" w:firstLine="239"/>
        <w:jc w:val="right"/>
      </w:pPr>
      <w:r>
        <w:rPr>
          <w:rFonts w:hAnsi="宋体" w:eastAsia="宋体" w:ascii="宋体"/>
          <w:color w:val="231F20"/>
        </w:rPr>
        <w:t>该程序能够产生长寡聚物或聚合酶链反应引物，用于扩增用户定义长度的基因特异性脱氧核糖核酸片段。到目前为止，已经开发了几个公开可用的引物/寡核苷酸设计程序</w:t>
      </w:r>
      <w:hyperlink w:history="true" w:anchor="_bookmark15">
        <w:r>
          <w:rPr>
            <w:rFonts w:hAnsi="宋体" w:eastAsia="宋体" w:ascii="宋体"/>
            <w:color w:val="2E3092"/>
            <w:w w:val="103"/>
          </w:rPr>
          <w:t>[3–8,11]</w:t>
        </w:r>
      </w:hyperlink>
      <w:r>
        <w:rPr>
          <w:rFonts w:hAnsi="宋体" w:eastAsia="宋体" w:ascii="宋体"/>
          <w:color w:val="231F20"/>
          <w:w w:val="82"/>
        </w:rPr>
        <w:t>。它们都专门用于设计聚合酶链反应引物或寡聚体；其中一些基于Primer3代码</w:t>
      </w:r>
      <w:hyperlink w:history="true" w:anchor="_bookmark15">
        <w:r>
          <w:rPr>
            <w:rFonts w:hAnsi="宋体" w:eastAsia="宋体" w:ascii="宋体"/>
            <w:color w:val="2E3092"/>
          </w:rPr>
          <w:t>[3]</w:t>
        </w:r>
      </w:hyperlink>
      <w:r>
        <w:rPr>
          <w:rFonts w:hAnsi="宋体" w:eastAsia="宋体" w:ascii="宋体"/>
          <w:color w:val="231F20"/>
        </w:rPr>
        <w:t>。jPCR基于我们独特的FastPCR软件及其快速高效的代码；它为许多应用提供了设计引物的更灵活的方法。它将检查引物或探针在输入序列中是否有可能产生额外的聚合酶链反应产物的二级结合位点。长寡聚物设计的最佳靶区的选择以与聚合酶链反应引物相同的方式进行。引物设计中的基本参数也被用作低聚物质量的量度，并评价了3’和5’末端碱基的热力学稳定性。引物对的建议和最佳对的选择是可能的。用户可以改变整个序列的产品大小或设计引物对，而无需使用默认或预先设计的参数来指定参数。预先设计的参数是针对不同的情况指定的:例如，针对低CG含量或长距离PCR的序列，或退化序列，或针对手动输入。结果显示了最佳候选引物列表和所有对聚合酶链反应最佳的相容引物对。用户可以指定，</w:t>
      </w:r>
    </w:p>
    <w:p>
      <w:pPr>
        <w:pStyle w:val="BodyText"/>
        <w:spacing w:before="1"/>
        <w:rPr>
          <w:rFonts w:hAnsi="宋体" w:eastAsia="宋体" w:ascii="宋体"/>
          <w:sz w:val="24"/>
        </w:rPr>
      </w:pPr>
    </w:p>
    <w:p>
      <w:pPr>
        <w:spacing w:before="0"/>
        <w:ind w:left="114" w:right="0" w:firstLine="0"/>
        <w:jc w:val="left"/>
        <w:rPr>
          <w:rFonts w:hAnsi="宋体" w:eastAsia="宋体" w:ascii="宋体"/>
          <w:sz w:val="12"/>
        </w:rPr>
      </w:pPr>
      <w:bookmarkStart w:name="_bookmark6" w:id="14"/>
      <w:bookmarkEnd w:id="14"/>
      <w:r>
        <w:rPr>
          <w:rFonts w:hAnsi="宋体" w:eastAsia="宋体" w:ascii="宋体"/>
        </w:rPr>
      </w:r>
      <w:r>
        <w:rPr>
          <w:rFonts w:hAnsi="宋体" w:eastAsia="宋体" w:ascii="宋体"/>
          <w:color w:val="231F20"/>
          <w:w w:val="105"/>
          <w:sz w:val="12"/>
        </w:rPr>
        <w:t>表2</w:t>
      </w:r>
    </w:p>
    <w:p>
      <w:pPr>
        <w:spacing w:before="27"/>
        <w:ind w:left="114" w:right="0" w:firstLine="0"/>
        <w:jc w:val="left"/>
        <w:rPr>
          <w:rFonts w:hAnsi="宋体" w:eastAsia="宋体" w:ascii="宋体"/>
          <w:sz w:val="12"/>
        </w:rPr>
      </w:pPr>
      <w:r>
        <w:rPr>
          <w:rFonts w:hAnsi="宋体" w:eastAsia="宋体" w:ascii="宋体"/>
          <w:color w:val="231F20"/>
          <w:w w:val="105"/>
          <w:sz w:val="12"/>
        </w:rPr>
        <w:t>默认引物设计选择标准。</w:t>
      </w:r>
    </w:p>
    <w:p>
      <w:pPr>
        <w:pStyle w:val="BodyText"/>
        <w:spacing w:before="6"/>
        <w:rPr>
          <w:rFonts w:hAnsi="宋体" w:eastAsia="宋体" w:ascii="宋体"/>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3"/>
        <w:gridCol w:w="1435"/>
        <w:gridCol w:w="1021"/>
      </w:tblGrid>
      <w:tr>
        <w:trPr>
          <w:trHeight w:val="248" w:hRule="atLeast"/>
        </w:trPr>
        <w:tc>
          <w:tcPr>
            <w:tcW w:w="2573" w:type="dxa"/>
            <w:tcBorders>
              <w:top w:val="single" w:sz="4" w:space="0" w:color="231F20"/>
              <w:bottom w:val="single" w:sz="6" w:space="0" w:color="231F20"/>
            </w:tcBorders>
          </w:tcPr>
          <w:p>
            <w:pPr>
              <w:pStyle w:val="TableParagraph"/>
              <w:spacing w:before="53"/>
              <w:ind w:left="119"/>
              <w:rPr>
                <w:rFonts w:hAnsi="宋体" w:eastAsia="宋体" w:ascii="宋体"/>
                <w:sz w:val="12"/>
              </w:rPr>
            </w:pPr>
            <w:bookmarkStart w:name="2.4. Primer quality (virtual PCR efficie" w:id="15"/>
            <w:bookmarkEnd w:id="15"/>
            <w:r>
              <w:rPr>
                <w:rFonts w:hAnsi="宋体" w:eastAsia="宋体" w:ascii="宋体"/>
              </w:rPr>
            </w:r>
            <w:r>
              <w:rPr>
                <w:rFonts w:hAnsi="宋体" w:eastAsia="宋体" w:ascii="宋体"/>
                <w:color w:val="231F20"/>
                <w:sz w:val="12"/>
              </w:rPr>
              <w:t>标准</w:t>
            </w:r>
          </w:p>
        </w:tc>
        <w:tc>
          <w:tcPr>
            <w:tcW w:w="1435" w:type="dxa"/>
            <w:tcBorders>
              <w:top w:val="single" w:sz="4" w:space="0" w:color="231F20"/>
              <w:bottom w:val="single" w:sz="6" w:space="0" w:color="231F20"/>
            </w:tcBorders>
          </w:tcPr>
          <w:p>
            <w:pPr>
              <w:pStyle w:val="TableParagraph"/>
              <w:spacing w:before="53"/>
              <w:ind w:left="149"/>
              <w:rPr>
                <w:rFonts w:hAnsi="宋体" w:eastAsia="宋体" w:ascii="宋体"/>
                <w:sz w:val="12"/>
              </w:rPr>
            </w:pPr>
            <w:r>
              <w:rPr>
                <w:rFonts w:hAnsi="宋体" w:eastAsia="宋体" w:ascii="宋体"/>
                <w:color w:val="231F20"/>
                <w:sz w:val="12"/>
              </w:rPr>
              <w:t>默认</w:t>
            </w:r>
          </w:p>
        </w:tc>
        <w:tc>
          <w:tcPr>
            <w:tcW w:w="1021" w:type="dxa"/>
            <w:tcBorders>
              <w:top w:val="single" w:sz="4" w:space="0" w:color="231F20"/>
              <w:bottom w:val="single" w:sz="6" w:space="0" w:color="231F20"/>
            </w:tcBorders>
          </w:tcPr>
          <w:p>
            <w:pPr>
              <w:pStyle w:val="TableParagraph"/>
              <w:spacing w:before="53"/>
              <w:ind w:left="149"/>
              <w:rPr>
                <w:rFonts w:hAnsi="宋体" w:eastAsia="宋体" w:ascii="宋体"/>
                <w:sz w:val="12"/>
              </w:rPr>
            </w:pPr>
            <w:r>
              <w:rPr>
                <w:rFonts w:hAnsi="宋体" w:eastAsia="宋体" w:ascii="宋体"/>
                <w:color w:val="231F20"/>
                <w:sz w:val="12"/>
              </w:rPr>
              <w:t>理想的</w:t>
            </w:r>
          </w:p>
        </w:tc>
      </w:tr>
      <w:tr>
        <w:trPr>
          <w:trHeight w:val="200" w:hRule="atLeast"/>
        </w:trPr>
        <w:tc>
          <w:tcPr>
            <w:tcW w:w="2573" w:type="dxa"/>
            <w:tcBorders>
              <w:top w:val="single" w:sz="6" w:space="0" w:color="231F20"/>
            </w:tcBorders>
          </w:tcPr>
          <w:p>
            <w:pPr>
              <w:pStyle w:val="TableParagraph"/>
              <w:spacing w:line="130" w:lineRule="exact" w:before="50"/>
              <w:ind w:left="119"/>
              <w:rPr>
                <w:rFonts w:hAnsi="宋体" w:eastAsia="宋体" w:ascii="宋体"/>
                <w:sz w:val="12"/>
              </w:rPr>
            </w:pPr>
            <w:r>
              <w:rPr>
                <w:rFonts w:hAnsi="宋体" w:eastAsia="宋体" w:ascii="宋体"/>
                <w:color w:val="231F20"/>
                <w:w w:val="110"/>
                <w:sz w:val="12"/>
              </w:rPr>
              <w:t>长度(nt)</w:t>
            </w:r>
          </w:p>
        </w:tc>
        <w:tc>
          <w:tcPr>
            <w:tcW w:w="1435" w:type="dxa"/>
            <w:tcBorders>
              <w:top w:val="single" w:sz="6" w:space="0" w:color="231F20"/>
            </w:tcBorders>
          </w:tcPr>
          <w:p>
            <w:pPr>
              <w:pStyle w:val="TableParagraph"/>
              <w:spacing w:line="130" w:lineRule="exact" w:before="50"/>
              <w:ind w:left="149"/>
              <w:rPr>
                <w:rFonts w:hAnsi="宋体" w:eastAsia="宋体" w:ascii="宋体"/>
                <w:sz w:val="12"/>
              </w:rPr>
            </w:pPr>
            <w:r>
              <w:rPr>
                <w:rFonts w:hAnsi="宋体" w:eastAsia="宋体" w:ascii="宋体"/>
                <w:color w:val="231F20"/>
                <w:w w:val="130"/>
                <w:sz w:val="12"/>
              </w:rPr>
              <w:t>19–21</w:t>
            </w:r>
          </w:p>
        </w:tc>
        <w:tc>
          <w:tcPr>
            <w:tcW w:w="1021" w:type="dxa"/>
            <w:tcBorders>
              <w:top w:val="single" w:sz="6" w:space="0" w:color="231F20"/>
            </w:tcBorders>
          </w:tcPr>
          <w:p>
            <w:pPr>
              <w:pStyle w:val="TableParagraph"/>
              <w:spacing w:line="130" w:lineRule="exact" w:before="50"/>
              <w:ind w:left="149"/>
              <w:rPr>
                <w:rFonts w:hAnsi="宋体" w:eastAsia="宋体" w:ascii="宋体"/>
                <w:sz w:val="12"/>
              </w:rPr>
            </w:pPr>
            <w:r>
              <w:rPr>
                <w:rFonts w:hAnsi="宋体" w:eastAsia="宋体" w:ascii="宋体"/>
                <w:color w:val="231F20"/>
                <w:w w:val="95"/>
                <w:sz w:val="12"/>
              </w:rPr>
              <w:t>N 21</w:t>
            </w:r>
          </w:p>
        </w:tc>
      </w:tr>
      <w:tr>
        <w:trPr>
          <w:trHeight w:val="171" w:hRule="atLeast"/>
        </w:trPr>
        <w:tc>
          <w:tcPr>
            <w:tcW w:w="2573" w:type="dxa"/>
          </w:tcPr>
          <w:p>
            <w:pPr>
              <w:pStyle w:val="TableParagraph"/>
              <w:spacing w:line="130" w:lineRule="exact" w:before="21"/>
              <w:ind w:left="119"/>
              <w:rPr>
                <w:rFonts w:hAnsi="宋体" w:eastAsia="宋体" w:ascii="宋体"/>
                <w:sz w:val="12"/>
              </w:rPr>
            </w:pPr>
            <w:r>
              <w:rPr>
                <w:rFonts w:hAnsi="宋体" w:eastAsia="宋体" w:ascii="宋体"/>
                <w:color w:val="231F20"/>
                <w:w w:val="105"/>
                <w:sz w:val="12"/>
              </w:rPr>
              <w:t>Tm范围</w:t>
            </w:r>
            <w:hyperlink w:history="true" w:anchor="_bookmark7">
              <w:r>
                <w:rPr>
                  <w:rFonts w:hAnsi="宋体" w:eastAsia="宋体" w:ascii="宋体"/>
                  <w:color w:val="231F20"/>
                  <w:w w:val="105"/>
                  <w:sz w:val="12"/>
                </w:rPr>
                <w:t>(°C)</w:t>
              </w:r>
            </w:hyperlink>
            <w:hyperlink w:history="true" w:anchor="_bookmark7">
              <w:r>
                <w:rPr>
                  <w:rFonts w:hAnsi="宋体" w:eastAsia="宋体" w:ascii="宋体"/>
                  <w:color w:val="2E3092"/>
                  <w:w w:val="105"/>
                  <w:sz w:val="12"/>
                  <w:vertAlign w:val="superscript"/>
                </w:rPr>
                <w:t>a</w:t>
              </w:r>
            </w:hyperlink>
          </w:p>
        </w:tc>
        <w:tc>
          <w:tcPr>
            <w:tcW w:w="1435" w:type="dxa"/>
          </w:tcPr>
          <w:p>
            <w:pPr>
              <w:pStyle w:val="TableParagraph"/>
              <w:spacing w:line="130" w:lineRule="exact" w:before="21"/>
              <w:ind w:left="149"/>
              <w:rPr>
                <w:rFonts w:hAnsi="宋体" w:eastAsia="宋体" w:ascii="宋体"/>
                <w:sz w:val="12"/>
              </w:rPr>
            </w:pPr>
            <w:r>
              <w:rPr>
                <w:rFonts w:hAnsi="宋体" w:eastAsia="宋体" w:ascii="宋体"/>
                <w:color w:val="231F20"/>
                <w:w w:val="130"/>
                <w:sz w:val="12"/>
              </w:rPr>
              <w:t>52–68</w:t>
            </w:r>
          </w:p>
        </w:tc>
        <w:tc>
          <w:tcPr>
            <w:tcW w:w="1021" w:type="dxa"/>
          </w:tcPr>
          <w:p>
            <w:pPr>
              <w:pStyle w:val="TableParagraph"/>
              <w:spacing w:line="130" w:lineRule="exact" w:before="21"/>
              <w:ind w:left="149"/>
              <w:rPr>
                <w:rFonts w:hAnsi="宋体" w:eastAsia="宋体" w:ascii="宋体"/>
                <w:sz w:val="12"/>
              </w:rPr>
            </w:pPr>
            <w:r>
              <w:rPr>
                <w:rFonts w:hAnsi="宋体" w:eastAsia="宋体" w:ascii="宋体"/>
                <w:color w:val="231F20"/>
                <w:w w:val="130"/>
                <w:sz w:val="12"/>
              </w:rPr>
              <w:t>60–68</w:t>
            </w:r>
          </w:p>
        </w:tc>
      </w:tr>
      <w:tr>
        <w:trPr>
          <w:trHeight w:val="178" w:hRule="atLeast"/>
        </w:trPr>
        <w:tc>
          <w:tcPr>
            <w:tcW w:w="2573" w:type="dxa"/>
          </w:tcPr>
          <w:p>
            <w:pPr>
              <w:pStyle w:val="TableParagraph"/>
              <w:spacing w:line="137" w:lineRule="exact" w:before="21"/>
              <w:ind w:left="119"/>
              <w:rPr>
                <w:rFonts w:hAnsi="宋体" w:eastAsia="宋体" w:ascii="宋体"/>
                <w:sz w:val="12"/>
              </w:rPr>
            </w:pPr>
            <w:hyperlink w:history="true" w:anchor="_bookmark7">
              <w:r>
                <w:rPr>
                  <w:rFonts w:hAnsi="宋体" w:eastAsia="宋体" w:ascii="宋体"/>
                  <w:color w:val="231F20"/>
                  <w:w w:val="105"/>
                  <w:sz w:val="12"/>
                </w:rPr>
                <w:t>Tm</w:t>
              </w:r>
            </w:hyperlink>
            <w:hyperlink w:history="true" w:anchor="_bookmark7">
              <w:r>
                <w:rPr>
                  <w:rFonts w:hAnsi="宋体" w:eastAsia="宋体" w:ascii="宋体"/>
                  <w:color w:val="2E3092"/>
                  <w:w w:val="105"/>
                  <w:sz w:val="12"/>
                  <w:vertAlign w:val="superscript"/>
                </w:rPr>
                <w:t>a </w:t>
              </w:r>
            </w:hyperlink>
            <w:r>
              <w:rPr>
                <w:rFonts w:hAnsi="宋体" w:eastAsia="宋体" w:ascii="宋体"/>
                <w:color w:val="231F20"/>
                <w:w w:val="105"/>
                <w:sz w:val="12"/>
                <w:vertAlign w:val="baseline"/>
              </w:rPr>
              <w:t>3’端有12个碱基</w:t>
            </w:r>
          </w:p>
        </w:tc>
        <w:tc>
          <w:tcPr>
            <w:tcW w:w="1435" w:type="dxa"/>
          </w:tcPr>
          <w:p>
            <w:pPr>
              <w:pStyle w:val="TableParagraph"/>
              <w:spacing w:line="137" w:lineRule="exact" w:before="21"/>
              <w:ind w:left="149"/>
              <w:rPr>
                <w:rFonts w:hAnsi="宋体" w:eastAsia="宋体" w:ascii="宋体"/>
                <w:sz w:val="12"/>
              </w:rPr>
            </w:pPr>
            <w:r>
              <w:rPr>
                <w:rFonts w:hAnsi="宋体" w:eastAsia="宋体" w:ascii="宋体"/>
                <w:color w:val="231F20"/>
                <w:w w:val="130"/>
                <w:sz w:val="12"/>
              </w:rPr>
              <w:t>34–48</w:t>
            </w:r>
          </w:p>
        </w:tc>
        <w:tc>
          <w:tcPr>
            <w:tcW w:w="1021" w:type="dxa"/>
          </w:tcPr>
          <w:p>
            <w:pPr>
              <w:pStyle w:val="TableParagraph"/>
              <w:spacing w:line="137" w:lineRule="exact" w:before="21"/>
              <w:ind w:left="149"/>
              <w:rPr>
                <w:rFonts w:hAnsi="宋体" w:eastAsia="宋体" w:ascii="宋体"/>
                <w:sz w:val="12"/>
              </w:rPr>
            </w:pPr>
            <w:r>
              <w:rPr>
                <w:rFonts w:hAnsi="宋体" w:eastAsia="宋体" w:ascii="宋体"/>
                <w:color w:val="231F20"/>
                <w:w w:val="130"/>
                <w:sz w:val="12"/>
              </w:rPr>
              <w:t>41–47</w:t>
            </w:r>
          </w:p>
        </w:tc>
      </w:tr>
      <w:tr>
        <w:trPr>
          <w:trHeight w:val="171" w:hRule="atLeast"/>
        </w:trPr>
        <w:tc>
          <w:tcPr>
            <w:tcW w:w="2573" w:type="dxa"/>
          </w:tcPr>
          <w:p>
            <w:pPr>
              <w:pStyle w:val="TableParagraph"/>
              <w:spacing w:line="137" w:lineRule="exact" w:before="13"/>
              <w:ind w:left="119"/>
              <w:rPr>
                <w:rFonts w:hAnsi="宋体" w:eastAsia="宋体" w:ascii="宋体"/>
                <w:sz w:val="12"/>
              </w:rPr>
            </w:pPr>
            <w:r>
              <w:rPr>
                <w:rFonts w:hAnsi="宋体" w:eastAsia="宋体" w:ascii="宋体"/>
                <w:color w:val="231F20"/>
                <w:sz w:val="12"/>
              </w:rPr>
              <w:t>GC (%)</w:t>
            </w:r>
          </w:p>
        </w:tc>
        <w:tc>
          <w:tcPr>
            <w:tcW w:w="1435" w:type="dxa"/>
          </w:tcPr>
          <w:p>
            <w:pPr>
              <w:pStyle w:val="TableParagraph"/>
              <w:spacing w:line="137" w:lineRule="exact" w:before="13"/>
              <w:ind w:left="149"/>
              <w:rPr>
                <w:rFonts w:hAnsi="宋体" w:eastAsia="宋体" w:ascii="宋体"/>
                <w:sz w:val="12"/>
              </w:rPr>
            </w:pPr>
            <w:r>
              <w:rPr>
                <w:rFonts w:hAnsi="宋体" w:eastAsia="宋体" w:ascii="宋体"/>
                <w:color w:val="231F20"/>
                <w:w w:val="130"/>
                <w:sz w:val="12"/>
              </w:rPr>
              <w:t>45–65</w:t>
            </w:r>
          </w:p>
        </w:tc>
        <w:tc>
          <w:tcPr>
            <w:tcW w:w="1021" w:type="dxa"/>
          </w:tcPr>
          <w:p>
            <w:pPr>
              <w:pStyle w:val="TableParagraph"/>
              <w:spacing w:line="137" w:lineRule="exact" w:before="13"/>
              <w:ind w:left="149"/>
              <w:rPr>
                <w:rFonts w:hAnsi="宋体" w:eastAsia="宋体" w:ascii="宋体"/>
                <w:sz w:val="12"/>
              </w:rPr>
            </w:pPr>
            <w:r>
              <w:rPr>
                <w:rFonts w:hAnsi="宋体" w:eastAsia="宋体" w:ascii="宋体"/>
                <w:color w:val="231F20"/>
                <w:w w:val="110"/>
                <w:sz w:val="12"/>
              </w:rPr>
              <w:t>50</w:t>
            </w:r>
          </w:p>
        </w:tc>
      </w:tr>
      <w:tr>
        <w:trPr>
          <w:trHeight w:val="163" w:hRule="atLeast"/>
        </w:trPr>
        <w:tc>
          <w:tcPr>
            <w:tcW w:w="2573" w:type="dxa"/>
          </w:tcPr>
          <w:p>
            <w:pPr>
              <w:pStyle w:val="TableParagraph"/>
              <w:spacing w:line="130" w:lineRule="exact" w:before="13"/>
              <w:ind w:left="119"/>
              <w:rPr>
                <w:rFonts w:hAnsi="宋体" w:eastAsia="宋体" w:ascii="宋体"/>
                <w:sz w:val="12"/>
              </w:rPr>
            </w:pPr>
            <w:r>
              <w:rPr>
                <w:rFonts w:hAnsi="宋体" w:eastAsia="宋体" w:ascii="宋体"/>
                <w:color w:val="231F20"/>
                <w:w w:val="110"/>
                <w:sz w:val="12"/>
              </w:rPr>
              <w:t>3′-末端组成(5′-nnn-3′)</w:t>
            </w:r>
          </w:p>
        </w:tc>
        <w:tc>
          <w:tcPr>
            <w:tcW w:w="1435" w:type="dxa"/>
          </w:tcPr>
          <w:p>
            <w:pPr>
              <w:pStyle w:val="TableParagraph"/>
              <w:spacing w:line="130" w:lineRule="exact" w:before="13"/>
              <w:ind w:left="149"/>
              <w:rPr>
                <w:rFonts w:hAnsi="宋体" w:eastAsia="宋体" w:ascii="宋体"/>
                <w:sz w:val="12"/>
              </w:rPr>
            </w:pPr>
            <w:r>
              <w:rPr>
                <w:rFonts w:hAnsi="宋体" w:eastAsia="宋体" w:ascii="宋体"/>
                <w:color w:val="231F20"/>
                <w:w w:val="105"/>
                <w:sz w:val="12"/>
              </w:rPr>
              <w:t>sww、sws、ssw、wss</w:t>
            </w:r>
          </w:p>
        </w:tc>
        <w:tc>
          <w:tcPr>
            <w:tcW w:w="1021" w:type="dxa"/>
          </w:tcPr>
          <w:p>
            <w:pPr>
              <w:pStyle w:val="TableParagraph"/>
              <w:spacing w:line="130" w:lineRule="exact" w:before="13"/>
              <w:ind w:left="149"/>
              <w:rPr>
                <w:rFonts w:hAnsi="宋体" w:eastAsia="宋体" w:ascii="宋体"/>
                <w:sz w:val="12"/>
              </w:rPr>
            </w:pPr>
            <w:r>
              <w:rPr>
                <w:rFonts w:hAnsi="宋体" w:eastAsia="宋体" w:ascii="宋体"/>
                <w:color w:val="231F20"/>
                <w:w w:val="105"/>
                <w:sz w:val="12"/>
              </w:rPr>
              <w:t>ssa、sws、wss</w:t>
            </w:r>
          </w:p>
        </w:tc>
      </w:tr>
      <w:tr>
        <w:trPr>
          <w:trHeight w:val="178" w:hRule="atLeast"/>
        </w:trPr>
        <w:tc>
          <w:tcPr>
            <w:tcW w:w="2573" w:type="dxa"/>
          </w:tcPr>
          <w:p>
            <w:pPr>
              <w:pStyle w:val="TableParagraph"/>
              <w:spacing w:line="137" w:lineRule="exact" w:before="21"/>
              <w:ind w:left="119"/>
              <w:rPr>
                <w:rFonts w:hAnsi="宋体" w:eastAsia="宋体" w:ascii="宋体"/>
                <w:sz w:val="12"/>
              </w:rPr>
            </w:pPr>
            <w:r>
              <w:rPr>
                <w:rFonts w:hAnsi="宋体" w:eastAsia="宋体" w:ascii="宋体"/>
                <w:color w:val="231F20"/>
                <w:w w:val="105"/>
                <w:sz w:val="12"/>
              </w:rPr>
              <w:t>序列语言复杂性(LC，%)</w:t>
            </w:r>
            <w:hyperlink w:history="true" w:anchor="_bookmark8">
              <w:r>
                <w:rPr>
                  <w:rFonts w:hAnsi="宋体" w:eastAsia="宋体" w:ascii="宋体"/>
                  <w:color w:val="2E3092"/>
                  <w:w w:val="105"/>
                  <w:sz w:val="12"/>
                  <w:vertAlign w:val="superscript"/>
                </w:rPr>
                <w:t>b</w:t>
              </w:r>
            </w:hyperlink>
          </w:p>
        </w:tc>
        <w:tc>
          <w:tcPr>
            <w:tcW w:w="1435" w:type="dxa"/>
          </w:tcPr>
          <w:p>
            <w:pPr>
              <w:pStyle w:val="TableParagraph"/>
              <w:spacing w:line="137" w:lineRule="exact" w:before="21"/>
              <w:ind w:left="149"/>
              <w:rPr>
                <w:rFonts w:hAnsi="宋体" w:eastAsia="宋体" w:ascii="宋体"/>
                <w:sz w:val="12"/>
              </w:rPr>
            </w:pPr>
            <w:r>
              <w:rPr>
                <w:rFonts w:hAnsi="宋体" w:eastAsia="宋体" w:ascii="宋体"/>
                <w:color w:val="231F20"/>
                <w:w w:val="95"/>
                <w:sz w:val="12"/>
              </w:rPr>
              <w:t>N 80</w:t>
            </w:r>
          </w:p>
        </w:tc>
        <w:tc>
          <w:tcPr>
            <w:tcW w:w="1021" w:type="dxa"/>
          </w:tcPr>
          <w:p>
            <w:pPr>
              <w:pStyle w:val="TableParagraph"/>
              <w:spacing w:line="137" w:lineRule="exact" w:before="21"/>
              <w:ind w:left="149"/>
              <w:rPr>
                <w:rFonts w:hAnsi="宋体" w:eastAsia="宋体" w:ascii="宋体"/>
                <w:sz w:val="12"/>
              </w:rPr>
            </w:pPr>
            <w:r>
              <w:rPr>
                <w:rFonts w:hAnsi="宋体" w:eastAsia="宋体" w:ascii="宋体"/>
                <w:color w:val="231F20"/>
                <w:w w:val="95"/>
                <w:sz w:val="12"/>
              </w:rPr>
              <w:t>N 95</w:t>
            </w:r>
          </w:p>
        </w:tc>
      </w:tr>
      <w:tr>
        <w:trPr>
          <w:trHeight w:val="210" w:hRule="atLeast"/>
        </w:trPr>
        <w:tc>
          <w:tcPr>
            <w:tcW w:w="2573" w:type="dxa"/>
            <w:tcBorders>
              <w:bottom w:val="single" w:sz="6" w:space="0" w:color="231F20"/>
            </w:tcBorders>
          </w:tcPr>
          <w:p>
            <w:pPr>
              <w:pStyle w:val="TableParagraph"/>
              <w:spacing w:before="13"/>
              <w:ind w:left="119"/>
              <w:rPr>
                <w:rFonts w:hAnsi="宋体" w:eastAsia="宋体" w:ascii="宋体"/>
                <w:sz w:val="12"/>
              </w:rPr>
            </w:pPr>
            <w:r>
              <w:rPr>
                <w:rFonts w:hAnsi="宋体" w:eastAsia="宋体" w:ascii="宋体"/>
                <w:color w:val="231F20"/>
                <w:sz w:val="12"/>
              </w:rPr>
              <w:t>序列质量(PQ，%)</w:t>
            </w:r>
          </w:p>
        </w:tc>
        <w:tc>
          <w:tcPr>
            <w:tcW w:w="1435" w:type="dxa"/>
            <w:tcBorders>
              <w:bottom w:val="single" w:sz="6" w:space="0" w:color="231F20"/>
            </w:tcBorders>
          </w:tcPr>
          <w:p>
            <w:pPr>
              <w:pStyle w:val="TableParagraph"/>
              <w:spacing w:before="13"/>
              <w:ind w:left="149"/>
              <w:rPr>
                <w:rFonts w:hAnsi="宋体" w:eastAsia="宋体" w:ascii="宋体"/>
                <w:sz w:val="12"/>
              </w:rPr>
            </w:pPr>
            <w:r>
              <w:rPr>
                <w:rFonts w:hAnsi="宋体" w:eastAsia="宋体" w:ascii="宋体"/>
                <w:color w:val="231F20"/>
                <w:w w:val="95"/>
                <w:sz w:val="12"/>
              </w:rPr>
              <w:t>N 80</w:t>
            </w:r>
          </w:p>
        </w:tc>
        <w:tc>
          <w:tcPr>
            <w:tcW w:w="1021" w:type="dxa"/>
            <w:tcBorders>
              <w:bottom w:val="single" w:sz="6" w:space="0" w:color="231F20"/>
            </w:tcBorders>
          </w:tcPr>
          <w:p>
            <w:pPr>
              <w:pStyle w:val="TableParagraph"/>
              <w:spacing w:before="13"/>
              <w:ind w:left="149"/>
              <w:rPr>
                <w:rFonts w:hAnsi="宋体" w:eastAsia="宋体" w:ascii="宋体"/>
                <w:sz w:val="12"/>
              </w:rPr>
            </w:pPr>
            <w:r>
              <w:rPr>
                <w:rFonts w:hAnsi="宋体" w:eastAsia="宋体" w:ascii="宋体"/>
                <w:color w:val="231F20"/>
                <w:w w:val="95"/>
                <w:sz w:val="12"/>
              </w:rPr>
              <w:t>N 95</w:t>
            </w:r>
          </w:p>
        </w:tc>
      </w:tr>
    </w:tbl>
    <w:p>
      <w:pPr>
        <w:spacing w:before="50"/>
        <w:ind w:left="222" w:right="0" w:firstLine="0"/>
        <w:jc w:val="left"/>
        <w:rPr>
          <w:rFonts w:hAnsi="宋体" w:eastAsia="宋体" w:ascii="宋体"/>
          <w:sz w:val="12"/>
        </w:rPr>
      </w:pPr>
      <w:bookmarkStart w:name="_bookmark7" w:id="16"/>
      <w:bookmarkEnd w:id="16"/>
      <w:r>
        <w:rPr>
          <w:rFonts w:hAnsi="宋体" w:eastAsia="宋体" w:ascii="宋体"/>
        </w:rPr>
      </w:r>
      <w:r>
        <w:rPr>
          <w:rFonts w:hAnsi="宋体" w:eastAsia="宋体" w:ascii="宋体"/>
          <w:color w:val="231F20"/>
          <w:w w:val="105"/>
          <w:sz w:val="12"/>
          <w:vertAlign w:val="superscript"/>
        </w:rPr>
        <w:t>最近邻热力学参数(11)。</w:t>
      </w:r>
      <w:bookmarkStart w:name="_bookmark8" w:id="17"/>
      <w:bookmarkEnd w:id="17"/>
    </w:p>
    <w:p>
      <w:pPr>
        <w:spacing w:line="285" w:lineRule="auto" w:before="27"/>
        <w:ind w:left="114" w:right="0" w:firstLine="107"/>
        <w:jc w:val="left"/>
        <w:rPr>
          <w:rFonts w:hAnsi="宋体" w:eastAsia="宋体" w:ascii="宋体"/>
          <w:sz w:val="12"/>
        </w:rPr>
      </w:pPr>
      <w:r>
        <w:rPr>
          <w:rFonts w:hAnsi="宋体" w:eastAsia="宋体" w:ascii="宋体"/>
          <w:color w:val="231F20"/>
          <w:w w:val="105"/>
          <w:sz w:val="12"/>
          <w:vertAlign w:val="superscript"/>
        </w:rPr>
        <w:t>使用字母容量L-gram方法进行序列语言复杂性测量。</w:t>
      </w:r>
    </w:p>
    <w:p>
      <w:pPr>
        <w:pStyle w:val="BodyText"/>
        <w:spacing w:line="261" w:lineRule="auto" w:before="98"/>
        <w:ind w:left="114" w:right="287"/>
        <w:jc w:val="both"/>
      </w:pPr>
      <w:r>
        <w:rPr>
          <w:rFonts w:hAnsi="宋体" w:eastAsia="宋体" w:ascii="宋体"/>
        </w:rPr>
        <w:br w:type="column"/>
      </w:r>
      <w:r>
        <w:rPr>
          <w:rFonts w:hAnsi="宋体" w:eastAsia="宋体" w:ascii="宋体"/>
          <w:color w:val="231F20"/>
        </w:rPr>
        <w:t>对于每个序列，每个序列内正向和反向引物设计都有多个位置，而聚合酶链反应设计将针对不同的靶独立进行。多重聚合酶链反应可以在具有多个扩增子的单个序列中同时进行，也可以针对不同的序列或两者的组合进行。用户可以用类似的方式指定聚合酶链反应产物的大小。</w:t>
      </w:r>
    </w:p>
    <w:p>
      <w:pPr>
        <w:pStyle w:val="BodyText"/>
        <w:spacing w:before="8"/>
        <w:rPr>
          <w:rFonts w:hAnsi="宋体" w:eastAsia="宋体" w:ascii="宋体"/>
          <w:sz w:val="17"/>
        </w:rPr>
      </w:pPr>
    </w:p>
    <w:p>
      <w:pPr>
        <w:pStyle w:val="ListParagraph"/>
        <w:numPr>
          <w:ilvl w:val="1"/>
          <w:numId w:val="1"/>
        </w:numPr>
        <w:tabs>
          <w:tab w:pos="413" w:val="left" w:leader="none"/>
        </w:tabs>
        <w:spacing w:line="240" w:lineRule="auto" w:before="0" w:after="0"/>
        <w:ind w:left="412" w:right="0" w:hanging="299"/>
        <w:jc w:val="left"/>
        <w:rPr>
          <w:rFonts w:hAnsi="宋体" w:eastAsia="宋体" w:ascii="宋体"/>
          <w:i/>
          <w:sz w:val="16"/>
        </w:rPr>
      </w:pPr>
      <w:r>
        <w:rPr>
          <w:rFonts w:hAnsi="宋体" w:eastAsia="宋体" w:ascii="宋体"/>
          <w:i/>
          <w:color w:val="231F20"/>
          <w:w w:val="105"/>
          <w:sz w:val="16"/>
        </w:rPr>
        <w:t>熔化温度(Tm)计算</w:t>
      </w:r>
    </w:p>
    <w:p>
      <w:pPr>
        <w:pStyle w:val="BodyText"/>
        <w:spacing w:before="3"/>
        <w:rPr>
          <w:rFonts w:hAnsi="宋体" w:eastAsia="宋体" w:ascii="宋体"/>
          <w:i/>
          <w:sz w:val="19"/>
        </w:rPr>
      </w:pPr>
    </w:p>
    <w:p>
      <w:pPr>
        <w:pStyle w:val="BodyText"/>
        <w:spacing w:line="261" w:lineRule="auto"/>
        <w:ind w:left="114" w:right="286" w:firstLine="239"/>
        <w:jc w:val="both"/>
      </w:pPr>
      <w:r>
        <w:rPr>
          <w:rFonts w:hAnsi="宋体" w:eastAsia="宋体" w:ascii="宋体"/>
          <w:color w:val="231F20"/>
          <w:spacing w:val="-1"/>
          <w:w w:val="95"/>
        </w:rPr>
        <w:t>Tm定义为一半DNA链处于双螺旋状态，一半处于“随机卷曲”状态的温度。具有正常或简并(混合或“摆动”)核苷酸组合的短寡核苷酸的Tm在默认设置中使用最近邻热力学参数计算</w:t>
      </w:r>
      <w:hyperlink w:history="true" w:anchor="_bookmark17">
        <w:r>
          <w:rPr>
            <w:rFonts w:hAnsi="宋体" w:eastAsia="宋体" w:ascii="宋体"/>
            <w:color w:val="2E3092"/>
            <w:w w:val="103"/>
          </w:rPr>
          <w:t>[13–17]</w:t>
        </w:r>
      </w:hyperlink>
      <w:r>
        <w:rPr>
          <w:rFonts w:hAnsi="宋体" w:eastAsia="宋体" w:ascii="宋体"/>
          <w:color w:val="231F20"/>
          <w:w w:val="82"/>
        </w:rPr>
        <w:t>。寡核苷酸的CG含量是影响Tm值的最重要因素。混合碱的熔化温度是通过平均每个混合点的最近邻热力学参数(焓和熵值)来计算的；类似地，消光系数是通过对混合地点的最近邻值取平均值来预测的</w:t>
      </w:r>
      <w:hyperlink w:history="true" w:anchor="_bookmark16">
        <w:r>
          <w:rPr>
            <w:rFonts w:hAnsi="宋体" w:eastAsia="宋体" w:ascii="宋体"/>
            <w:color w:val="2E3092"/>
            <w:w w:val="95"/>
          </w:rPr>
          <w:t>[5]</w:t>
        </w:r>
      </w:hyperlink>
      <w:r>
        <w:rPr>
          <w:rFonts w:hAnsi="宋体" w:eastAsia="宋体" w:ascii="宋体"/>
          <w:color w:val="231F20"/>
          <w:w w:val="95"/>
        </w:rPr>
        <w:t>。表S1显示了最近邻热力学参数，正常和混合核苷酸的焓和熵值。5′n1 N2中的第一个核苷酸显示在水平栏中，第二个核苷酸5′n1 N2显示在垂直栏中。</w:t>
      </w:r>
    </w:p>
    <w:p>
      <w:pPr>
        <w:pStyle w:val="BodyText"/>
        <w:spacing w:before="4"/>
        <w:rPr>
          <w:rFonts w:hAnsi="宋体" w:eastAsia="宋体" w:ascii="宋体"/>
          <w:sz w:val="17"/>
        </w:rPr>
      </w:pPr>
    </w:p>
    <w:p>
      <w:pPr>
        <w:pStyle w:val="ListParagraph"/>
        <w:numPr>
          <w:ilvl w:val="1"/>
          <w:numId w:val="1"/>
        </w:numPr>
        <w:tabs>
          <w:tab w:pos="413" w:val="left" w:leader="none"/>
        </w:tabs>
        <w:spacing w:line="240" w:lineRule="auto" w:before="0" w:after="0"/>
        <w:ind w:left="412" w:right="0" w:hanging="299"/>
        <w:jc w:val="left"/>
        <w:rPr>
          <w:rFonts w:hAnsi="宋体" w:eastAsia="宋体" w:ascii="宋体"/>
          <w:i/>
          <w:sz w:val="16"/>
        </w:rPr>
      </w:pPr>
      <w:r>
        <w:rPr>
          <w:rFonts w:hAnsi="宋体" w:eastAsia="宋体" w:ascii="宋体"/>
          <w:i/>
          <w:color w:val="231F20"/>
          <w:w w:val="105"/>
          <w:sz w:val="16"/>
        </w:rPr>
        <w:t>序列的语言复杂性；核苷酸偏差分析</w:t>
      </w:r>
    </w:p>
    <w:p>
      <w:pPr>
        <w:pStyle w:val="BodyText"/>
        <w:spacing w:before="2"/>
        <w:rPr>
          <w:rFonts w:hAnsi="宋体" w:eastAsia="宋体" w:ascii="宋体"/>
          <w:i/>
          <w:sz w:val="19"/>
        </w:rPr>
      </w:pPr>
    </w:p>
    <w:p>
      <w:pPr>
        <w:pStyle w:val="BodyText"/>
        <w:spacing w:line="261" w:lineRule="auto" w:before="1"/>
        <w:ind w:left="114" w:right="287" w:firstLine="239"/>
        <w:jc w:val="both"/>
      </w:pPr>
      <w:r>
        <w:rPr>
          <w:rFonts w:hAnsi="宋体" w:eastAsia="宋体" w:ascii="宋体"/>
          <w:color w:val="231F20"/>
          <w:spacing w:val="-2"/>
        </w:rPr>
        <w:t>序列复杂性计算方法可用于搜索比较序列之间的保守区域，以检测低复杂性区域，包括简单序列重复、不完全直接或反向重复、多嘌呤和多嘧啶三链脱氧核糖核酸结构和四链结构(如G-四链体)。语言复杂性测量使用字母容量L-gram方法进行</w:t>
      </w:r>
      <w:hyperlink w:history="true" w:anchor="_bookmark17">
        <w:r>
          <w:rPr>
            <w:rFonts w:hAnsi="宋体" w:eastAsia="宋体" w:ascii="宋体"/>
            <w:color w:val="2E3092"/>
          </w:rPr>
          <w:t>[18,19]</w:t>
        </w:r>
      </w:hyperlink>
      <w:r>
        <w:rPr>
          <w:rFonts w:hAnsi="宋体" w:eastAsia="宋体" w:ascii="宋体"/>
          <w:color w:val="231F20"/>
        </w:rPr>
        <w:t>沿着整个序列长度，计算为序列中从1到L大小的字的观察范围(xi)的总和除以预期的总和</w:t>
      </w:r>
    </w:p>
    <w:p>
      <w:pPr>
        <w:pStyle w:val="BodyText"/>
        <w:spacing w:line="261" w:lineRule="auto"/>
        <w:ind w:left="114" w:right="287"/>
        <w:jc w:val="both"/>
      </w:pPr>
      <w:r>
        <w:rPr>
          <w:rFonts w:hAnsi="宋体" w:eastAsia="宋体" w:ascii="宋体"/>
          <w:color w:val="231F20"/>
        </w:rPr>
        <w:t>该序列长度的值。富含G(和富含C)的核酸序列可以折叠成四链DNA结构，该结构包含G-四分体的堆叠(详见</w:t>
      </w:r>
      <w:hyperlink r:id="rId15">
        <w:r>
          <w:rPr>
            <w:rFonts w:hAnsi="宋体" w:eastAsia="宋体" w:ascii="宋体"/>
            <w:color w:val="2E3092"/>
          </w:rPr>
          <w:t>http://www.quadruplex.org/</w:t>
        </w:r>
      </w:hyperlink>
      <w:r>
        <w:rPr>
          <w:rFonts w:hAnsi="宋体" w:eastAsia="宋体" w:ascii="宋体"/>
          <w:color w:val="231F20"/>
        </w:rPr>
        <w:t>].这些四链体可以通过两个或四个DNA分子的分子间结合，含有两个G-碱基的序列的二聚化，或者通过含有四个鸟嘌呤嵌段的单链的分子间折叠形成</w:t>
      </w:r>
      <w:hyperlink w:history="true" w:anchor="_bookmark17">
        <w:r>
          <w:rPr>
            <w:rFonts w:hAnsi="宋体" w:eastAsia="宋体" w:ascii="宋体"/>
            <w:color w:val="2E3092"/>
          </w:rPr>
          <w:t>[20–26]</w:t>
        </w:r>
      </w:hyperlink>
      <w:r>
        <w:rPr>
          <w:rFonts w:hAnsi="宋体" w:eastAsia="宋体" w:ascii="宋体"/>
          <w:color w:val="231F20"/>
        </w:rPr>
        <w:t>；这些很容易从引物设计中消除，因为它们的语言复杂性低，LC=32% for (TTAGGG)4。</w:t>
      </w:r>
    </w:p>
    <w:p>
      <w:pPr>
        <w:pStyle w:val="BodyText"/>
        <w:spacing w:line="261" w:lineRule="auto"/>
        <w:ind w:left="114" w:right="281" w:firstLine="239"/>
        <w:jc w:val="both"/>
      </w:pPr>
      <w:r>
        <w:rPr>
          <w:rFonts w:hAnsi="宋体" w:eastAsia="宋体" w:ascii="宋体"/>
          <w:color w:val="231F20"/>
        </w:rPr>
        <w:t>该计划包括各种生物信息学工具，用于对具有气相色谱偏斜、(G-C)/(G+C)、AT偏斜、(A-T)/(A+T)、CG-AT偏斜、(S-W)/(S+W)或嘌呤-嘧啶(R-Y)/(R+Y)偏斜的序列进行模式分析，涉及CG含量和熔化温度，并考虑语言序列复杂性特征。例如，根据公式(G-C)/(G+C)，n个碱基的滑动窗口中的GC偏斜以一个碱基的步长计算，其中G是鸟嘌呤的总数，C是窗口中所有序列的胞嘧啶总数</w:t>
      </w:r>
      <w:hyperlink w:history="true" w:anchor="_bookmark18">
        <w:r>
          <w:rPr>
            <w:rFonts w:hAnsi="宋体" w:eastAsia="宋体" w:ascii="宋体"/>
            <w:color w:val="2E3092"/>
          </w:rPr>
          <w:t>[27]</w:t>
        </w:r>
      </w:hyperlink>
      <w:r>
        <w:rPr>
          <w:rFonts w:hAnsi="宋体" w:eastAsia="宋体" w:ascii="宋体"/>
          <w:color w:val="231F20"/>
        </w:rPr>
        <w:t>。正的气相色谱偏移值表示过量的G碱基，而负的气相色谱偏移值表示过量的C碱基。同样，序列中也会计算其他偏斜。</w:t>
      </w:r>
    </w:p>
    <w:p>
      <w:pPr>
        <w:pStyle w:val="BodyText"/>
        <w:spacing w:before="4"/>
      </w:pPr>
    </w:p>
    <w:p>
      <w:pPr>
        <w:pStyle w:val="ListParagraph"/>
        <w:numPr>
          <w:ilvl w:val="1"/>
          <w:numId w:val="1"/>
        </w:numPr>
        <w:tabs>
          <w:tab w:pos="413" w:val="left" w:leader="none"/>
        </w:tabs>
        <w:spacing w:line="240" w:lineRule="auto" w:before="0" w:after="0"/>
        <w:ind w:left="412" w:right="0" w:hanging="299"/>
        <w:jc w:val="left"/>
        <w:rPr>
          <w:rFonts w:hAnsi="宋体" w:eastAsia="宋体" w:ascii="宋体"/>
          <w:i/>
          <w:sz w:val="16"/>
        </w:rPr>
      </w:pPr>
      <w:r>
        <w:rPr>
          <w:rFonts w:hAnsi="宋体" w:eastAsia="宋体" w:ascii="宋体"/>
          <w:i/>
          <w:color w:val="231F20"/>
          <w:w w:val="105"/>
          <w:sz w:val="16"/>
        </w:rPr>
        <w:t>引物质量(虚拟聚合酶链反应效率)测定</w:t>
      </w:r>
    </w:p>
    <w:p>
      <w:pPr>
        <w:pStyle w:val="BodyText"/>
        <w:spacing w:before="7"/>
        <w:rPr>
          <w:rFonts w:hAnsi="宋体" w:eastAsia="宋体" w:ascii="宋体"/>
          <w:i/>
          <w:sz w:val="18"/>
        </w:rPr>
      </w:pPr>
    </w:p>
    <w:p>
      <w:pPr>
        <w:pStyle w:val="BodyText"/>
        <w:spacing w:line="261" w:lineRule="auto"/>
        <w:ind w:left="114" w:right="284" w:firstLine="239"/>
        <w:jc w:val="both"/>
      </w:pPr>
      <w:r>
        <w:rPr>
          <w:rFonts w:hAnsi="宋体" w:eastAsia="宋体" w:ascii="宋体"/>
          <w:color w:val="231F20"/>
        </w:rPr>
        <w:t>实验数据表明，引物核苷酸组成和引物3’端12个碱基的解链温度是影响聚合酶链反应效率的重要因素。12碱基3’末端的熔化温度优选通过最近邻热力学参数计算</w:t>
      </w:r>
      <w:hyperlink w:history="true" w:anchor="_bookmark17">
        <w:r>
          <w:rPr>
            <w:rFonts w:hAnsi="宋体" w:eastAsia="宋体" w:ascii="宋体"/>
            <w:color w:val="2E3092"/>
          </w:rPr>
          <w:t>[15]</w:t>
        </w:r>
      </w:hyperlink>
      <w:r>
        <w:rPr>
          <w:rFonts w:hAnsi="宋体" w:eastAsia="宋体" w:ascii="宋体"/>
          <w:color w:val="231F20"/>
        </w:rPr>
        <w:t>。3’末端序列的组成很重要；为了提高聚合酶链反应效率，建议使用带有两个末端碳/庚碱基的引物</w:t>
      </w:r>
      <w:hyperlink w:history="true" w:anchor="_bookmark19">
        <w:r>
          <w:rPr>
            <w:rFonts w:hAnsi="宋体" w:eastAsia="宋体" w:ascii="宋体"/>
            <w:color w:val="2E3092"/>
            <w:w w:val="103"/>
          </w:rPr>
          <w:t>[28–30]</w:t>
        </w:r>
      </w:hyperlink>
      <w:r>
        <w:rPr>
          <w:rFonts w:hAnsi="宋体" w:eastAsia="宋体" w:ascii="宋体"/>
          <w:color w:val="231F20"/>
          <w:w w:val="82"/>
        </w:rPr>
        <w:t>。核苷酸残基C和G形成强配对结构</w:t>
      </w:r>
    </w:p>
    <w:p>
      <w:pPr>
        <w:spacing w:after="0" w:line="261" w:lineRule="auto"/>
        <w:jc w:val="both"/>
        <w:sectPr>
          <w:type w:val="continuous"/>
          <w:pgSz w:w="11910" w:h="15880"/>
          <w:pgMar w:header="688" w:footer="0" w:top="640" w:bottom="280" w:left="560" w:right="560"/>
          <w:cols w:num="2" w:equalWidth="0">
            <w:col w:w="5186" w:space="174"/>
            <w:col w:w="5430"/>
          </w:cols>
        </w:sectPr>
      </w:pPr>
    </w:p>
    <w:p>
      <w:pPr>
        <w:pStyle w:val="BodyText"/>
        <w:spacing w:before="7"/>
        <w:rPr>
          <w:rFonts w:hAnsi="宋体" w:eastAsia="宋体" w:ascii="宋体"/>
          <w:sz w:val="14"/>
        </w:rPr>
      </w:pPr>
    </w:p>
    <w:p>
      <w:pPr>
        <w:pStyle w:val="BodyText"/>
        <w:ind w:left="2288"/>
        <w:rPr>
          <w:rFonts w:hAnsi="宋体" w:eastAsia="宋体" w:ascii="宋体"/>
          <w:sz w:val="20"/>
        </w:rPr>
      </w:pPr>
      <w:r>
        <w:rPr>
          <w:rFonts w:hAnsi="宋体" w:eastAsia="宋体" w:ascii="宋体"/>
          <w:sz w:val="20"/>
        </w:rPr>
        <w:drawing>
          <wp:inline distT="0" distB="0" distL="0" distR="0">
            <wp:extent cx="4057121" cy="2235707"/>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6" cstate="print"/>
                    <a:stretch>
                      <a:fillRect/>
                    </a:stretch>
                  </pic:blipFill>
                  <pic:spPr>
                    <a:xfrm>
                      <a:off x="0" y="0"/>
                      <a:ext cx="4057121" cy="2235707"/>
                    </a:xfrm>
                    <a:prstGeom prst="rect">
                      <a:avLst/>
                    </a:prstGeom>
                  </pic:spPr>
                </pic:pic>
              </a:graphicData>
            </a:graphic>
          </wp:inline>
        </w:drawing>
      </w:r>
      <w:r>
        <w:rPr>
          <w:rFonts w:hAnsi="宋体" w:eastAsia="宋体" w:ascii="宋体"/>
          <w:sz w:val="20"/>
        </w:rPr>
      </w:r>
    </w:p>
    <w:p>
      <w:pPr>
        <w:pStyle w:val="BodyText"/>
        <w:spacing w:before="10"/>
        <w:rPr>
          <w:rFonts w:hAnsi="宋体" w:eastAsia="宋体" w:ascii="宋体"/>
          <w:sz w:val="15"/>
        </w:rPr>
      </w:pPr>
    </w:p>
    <w:p>
      <w:pPr>
        <w:spacing w:before="108"/>
        <w:ind w:left="290" w:right="0" w:firstLine="0"/>
        <w:jc w:val="left"/>
        <w:rPr>
          <w:rFonts w:hAnsi="宋体" w:eastAsia="宋体" w:ascii="宋体"/>
          <w:sz w:val="12"/>
        </w:rPr>
      </w:pPr>
      <w:bookmarkStart w:name="2.6. Calculation of optimal annealing te" w:id="18"/>
      <w:bookmarkEnd w:id="18"/>
      <w:r>
        <w:rPr>
          <w:rFonts w:hAnsi="宋体" w:eastAsia="宋体" w:ascii="宋体"/>
        </w:rPr>
      </w:r>
      <w:bookmarkStart w:name="_bookmark9" w:id="19"/>
      <w:bookmarkEnd w:id="19"/>
      <w:r>
        <w:rPr>
          <w:rFonts w:hAnsi="宋体" w:eastAsia="宋体" w:ascii="宋体"/>
        </w:rPr>
      </w:r>
      <w:r>
        <w:rPr>
          <w:rFonts w:hAnsi="宋体" w:eastAsia="宋体" w:ascii="宋体"/>
          <w:color w:val="231F20"/>
          <w:sz w:val="12"/>
        </w:rPr>
        <w:t>图1。不同引物特征的图谱。滑动窗口大小为30 nt的图谱，同时分析Tm、CG%、语言复杂性和引物质量的序列。</w:t>
      </w:r>
    </w:p>
    <w:p>
      <w:pPr>
        <w:pStyle w:val="BodyText"/>
        <w:rPr>
          <w:rFonts w:hAnsi="宋体" w:eastAsia="宋体" w:ascii="宋体"/>
          <w:sz w:val="20"/>
        </w:rPr>
      </w:pPr>
    </w:p>
    <w:p>
      <w:pPr>
        <w:pStyle w:val="BodyText"/>
        <w:rPr>
          <w:rFonts w:hAnsi="宋体" w:eastAsia="宋体" w:ascii="宋体"/>
          <w:sz w:val="20"/>
        </w:rPr>
      </w:pPr>
    </w:p>
    <w:p>
      <w:pPr>
        <w:pStyle w:val="BodyText"/>
        <w:spacing w:before="5"/>
        <w:rPr>
          <w:rFonts w:hAnsi="宋体" w:eastAsia="宋体" w:ascii="宋体"/>
          <w:sz w:val="19"/>
        </w:rPr>
      </w:pPr>
    </w:p>
    <w:p>
      <w:pPr>
        <w:spacing w:after="0"/>
        <w:rPr>
          <w:rFonts w:hAnsi="宋体" w:eastAsia="宋体" w:ascii="宋体"/>
          <w:sz w:val="19"/>
        </w:rPr>
        <w:sectPr>
          <w:pgSz w:w="11910" w:h="15880"/>
          <w:pgMar w:header="688" w:footer="0" w:top="880" w:bottom="280" w:left="560" w:right="560"/>
        </w:sectPr>
      </w:pPr>
    </w:p>
    <w:p>
      <w:pPr>
        <w:pStyle w:val="BodyText"/>
        <w:spacing w:line="259" w:lineRule="auto" w:before="99"/>
        <w:ind w:left="290"/>
        <w:jc w:val="both"/>
      </w:pPr>
      <w:r>
        <w:rPr>
          <w:rFonts w:hAnsi="宋体" w:eastAsia="宋体" w:ascii="宋体"/>
          <w:color w:val="231F20"/>
          <w:spacing w:val="-1"/>
        </w:rPr>
        <w:t>在双链DNA链中。引物模板复合物3’端的稳定性将提高聚合效率。</w:t>
      </w:r>
    </w:p>
    <w:p>
      <w:pPr>
        <w:pStyle w:val="BodyText"/>
        <w:spacing w:line="261" w:lineRule="auto" w:before="2"/>
        <w:ind w:left="290" w:right="1" w:firstLine="239"/>
        <w:jc w:val="both"/>
      </w:pPr>
      <w:r>
        <w:rPr>
          <w:rFonts w:hAnsi="宋体" w:eastAsia="宋体" w:ascii="宋体"/>
          <w:color w:val="231F20"/>
          <w:spacing w:val="-1"/>
        </w:rPr>
        <w:t>我们指定了一个称为引物质量(PQ)的抽象参数，它可以帮助估计聚合酶链反应引物的效率。PQ是根据以下参数通过点的连续求和来计算的:总序列和嘌呤-嘧啶序列的复杂性，整个引物和末端3’和5’12个碱基的解链温度。导致可能的二聚体和发夹结构的自互补降低了最终值。PQ试图描述每个引物PCR成功的可能性；该值从最佳引物的100变化到最差引物的0(</w:t>
      </w:r>
      <w:hyperlink w:history="true" w:anchor="_bookmark9">
        <w:r>
          <w:rPr>
            <w:rFonts w:hAnsi="宋体" w:eastAsia="宋体" w:ascii="宋体"/>
            <w:color w:val="2E3092"/>
          </w:rPr>
          <w:t>Fig. 1</w:t>
        </w:r>
      </w:hyperlink>
      <w:r>
        <w:rPr>
          <w:rFonts w:hAnsi="宋体" w:eastAsia="宋体" w:ascii="宋体"/>
          <w:color w:val="231F20"/>
        </w:rPr>
        <w:t>).</w:t>
      </w:r>
    </w:p>
    <w:p>
      <w:pPr>
        <w:pStyle w:val="BodyText"/>
        <w:spacing w:line="261" w:lineRule="auto"/>
        <w:ind w:left="290" w:firstLine="239"/>
        <w:jc w:val="both"/>
      </w:pPr>
      <w:r>
        <w:rPr>
          <w:rFonts w:hAnsi="宋体" w:eastAsia="宋体" w:ascii="宋体"/>
          <w:color w:val="231F20"/>
        </w:rPr>
        <w:t>为了满足多路复用需求，在程序中可以选择具有最佳温度范围的最佳引物，允许为任何CG和重复内容的任何目标序列设计合格的引物或探针。PQ值为80或更高允许快速选择最佳的聚合酶链反应引物对组合。由于反应缓冲液的改变、选择的热稳定聚合酶或退火温度的变化，没有观察到对使用高PQ引物的聚合酶链反应扩增的再现性的不利影响。</w:t>
      </w:r>
    </w:p>
    <w:p>
      <w:pPr>
        <w:pStyle w:val="BodyText"/>
        <w:spacing w:before="7"/>
        <w:rPr>
          <w:rFonts w:hAnsi="宋体" w:eastAsia="宋体" w:ascii="宋体"/>
          <w:sz w:val="24"/>
        </w:rPr>
      </w:pPr>
    </w:p>
    <w:p>
      <w:pPr>
        <w:pStyle w:val="ListParagraph"/>
        <w:numPr>
          <w:ilvl w:val="1"/>
          <w:numId w:val="1"/>
        </w:numPr>
        <w:tabs>
          <w:tab w:pos="589" w:val="left" w:leader="none"/>
        </w:tabs>
        <w:spacing w:line="240" w:lineRule="auto" w:before="0" w:after="0"/>
        <w:ind w:left="588" w:right="0" w:hanging="299"/>
        <w:jc w:val="left"/>
        <w:rPr>
          <w:rFonts w:hAnsi="宋体" w:eastAsia="宋体" w:ascii="宋体"/>
          <w:i/>
          <w:sz w:val="16"/>
        </w:rPr>
      </w:pPr>
      <w:bookmarkStart w:name="2.5. Hairpin (loop) and dimer formation" w:id="20"/>
      <w:bookmarkEnd w:id="20"/>
      <w:r>
        <w:rPr>
          <w:rFonts w:hAnsi="宋体" w:eastAsia="宋体" w:ascii="宋体"/>
        </w:rPr>
      </w:r>
      <w:bookmarkStart w:name="2.5. Hairpin (loop) and dimer formation" w:id="21"/>
      <w:bookmarkEnd w:id="21"/>
      <w:r>
        <w:rPr>
          <w:rFonts w:hAnsi="宋体" w:eastAsia="宋体" w:ascii="宋体"/>
          <w:i/>
          <w:color w:val="231F20"/>
          <w:w w:val="105"/>
          <w:sz w:val="16"/>
        </w:rPr>
        <w:t>发夹(环)和二聚体的形成</w:t>
      </w:r>
    </w:p>
    <w:p>
      <w:pPr>
        <w:pStyle w:val="BodyText"/>
        <w:spacing w:before="2"/>
        <w:rPr>
          <w:rFonts w:hAnsi="宋体" w:eastAsia="宋体" w:ascii="宋体"/>
          <w:i/>
          <w:sz w:val="19"/>
        </w:rPr>
      </w:pPr>
    </w:p>
    <w:p>
      <w:pPr>
        <w:pStyle w:val="BodyText"/>
        <w:spacing w:line="261" w:lineRule="auto"/>
        <w:ind w:left="290" w:firstLine="239"/>
        <w:jc w:val="both"/>
      </w:pPr>
      <w:r>
        <w:rPr>
          <w:rFonts w:hAnsi="宋体" w:eastAsia="宋体" w:ascii="宋体"/>
          <w:color w:val="231F20"/>
          <w:w w:val="95"/>
        </w:rPr>
        <w:t>涉及一个或两个序列的引物二聚体可能出现在聚合酶链反应中。jPCR工具在生成引物列表和候选引物对之前，消除了寡核苷酸内部和之间的反应。避免稳定和抑制性二聚体的产生对聚合酶的效率非常重要，特别是避免聚合酶延伸的引物3’端的互补性。稳定的引物二聚体形成在抑制PCR方面非常有效，因为形成的二聚体被有效地扩增并与预期的靶竞争(</w:t>
      </w:r>
      <w:hyperlink w:history="true" w:anchor="_bookmark10">
        <w:r>
          <w:rPr>
            <w:rFonts w:hAnsi="宋体" w:eastAsia="宋体" w:ascii="宋体"/>
            <w:color w:val="2E3092"/>
          </w:rPr>
          <w:t>Fig. 2</w:t>
        </w:r>
      </w:hyperlink>
      <w:r>
        <w:rPr>
          <w:rFonts w:hAnsi="宋体" w:eastAsia="宋体" w:ascii="宋体"/>
          <w:color w:val="231F20"/>
        </w:rPr>
        <w:t>).</w:t>
      </w:r>
    </w:p>
    <w:p>
      <w:pPr>
        <w:pStyle w:val="BodyText"/>
        <w:spacing w:line="261" w:lineRule="auto"/>
        <w:ind w:left="290" w:firstLine="239"/>
        <w:jc w:val="both"/>
      </w:pPr>
      <w:r>
        <w:rPr>
          <w:rFonts w:hAnsi="宋体" w:eastAsia="宋体" w:ascii="宋体"/>
          <w:color w:val="231F20"/>
        </w:rPr>
        <w:t>引物二聚体的预测基于对非间隙局部比对和引物3’端和中心部分稳定性的分析。当引物有可能形成稳定的二聚体时，它们将被拒绝，该二聚体在3’端至少有5个碱基，或在中心部分有7个碱基。工具使用为DNA/DNA双链体提供的平均最近邻热力学参数计算引物二聚体的Tm，所述引物二聚体具有纯的、混合的或修饰的(肌苷、尿苷或锁定核酸)碱基的错配</w:t>
      </w:r>
      <w:hyperlink w:history="true" w:anchor="_bookmark17">
        <w:r>
          <w:rPr>
            <w:rFonts w:hAnsi="宋体" w:eastAsia="宋体" w:ascii="宋体"/>
            <w:color w:val="2E3092"/>
            <w:w w:val="103"/>
          </w:rPr>
          <w:t>[13–16,31,32]</w:t>
        </w:r>
      </w:hyperlink>
      <w:r>
        <w:rPr>
          <w:rFonts w:hAnsi="宋体" w:eastAsia="宋体" w:ascii="宋体"/>
          <w:color w:val="231F20"/>
          <w:w w:val="82"/>
        </w:rPr>
        <w:t>。除了沃森-克里克碱基配对，还有其他各种氢键构型</w:t>
      </w:r>
      <w:bookmarkStart w:name="_bookmark10" w:id="22"/>
      <w:bookmarkEnd w:id="22"/>
      <w:r>
        <w:rPr>
          <w:rFonts w:hAnsi="宋体" w:eastAsia="宋体" w:ascii="宋体"/>
          <w:color w:val="231F20"/>
          <w:w w:val="194"/>
        </w:rPr>
      </w:r>
      <w:r>
        <w:rPr>
          <w:rFonts w:hAnsi="宋体" w:eastAsia="宋体" w:ascii="宋体"/>
          <w:color w:val="231F20"/>
        </w:rPr>
        <w:t>Crick base pairing, there is a variety of other hydrogen bonding</w:t>
      </w:r>
      <w:hyperlink w:history="true" w:anchor="_bookmark17">
        <w:r>
          <w:rPr>
            <w:rFonts w:hAnsi="宋体" w:eastAsia="宋体" w:ascii="宋体"/>
            <w:color w:val="2E3092"/>
          </w:rPr>
          <w:t>[20–26] </w:t>
        </w:r>
      </w:hyperlink>
      <w:r>
        <w:rPr>
          <w:rFonts w:hAnsi="宋体" w:eastAsia="宋体" w:ascii="宋体"/>
          <w:color w:val="231F20"/>
        </w:rPr>
        <w:t>例如G-四链体(</w:t>
      </w:r>
      <w:hyperlink w:history="true" w:anchor="_bookmark11">
        <w:r>
          <w:rPr>
            <w:rFonts w:hAnsi="宋体" w:eastAsia="宋体" w:ascii="宋体"/>
            <w:color w:val="2E3092"/>
          </w:rPr>
          <w:t>Fig. 3</w:t>
        </w:r>
      </w:hyperlink>
      <w:r>
        <w:rPr>
          <w:rFonts w:hAnsi="宋体" w:eastAsia="宋体" w:ascii="宋体"/>
          <w:color w:val="231F20"/>
        </w:rPr>
        <w:t>).默认情况下，软件预测引物序列中存在假定的G-quadra-plex。</w:t>
      </w:r>
    </w:p>
    <w:p>
      <w:pPr>
        <w:pStyle w:val="ListParagraph"/>
        <w:numPr>
          <w:ilvl w:val="1"/>
          <w:numId w:val="1"/>
        </w:numPr>
        <w:tabs>
          <w:tab w:pos="589" w:val="left" w:leader="none"/>
        </w:tabs>
        <w:spacing w:line="240" w:lineRule="auto" w:before="109" w:after="0"/>
        <w:ind w:left="588" w:right="0" w:hanging="299"/>
        <w:jc w:val="left"/>
        <w:rPr>
          <w:rFonts w:hAnsi="宋体" w:eastAsia="宋体" w:ascii="宋体"/>
          <w:i/>
          <w:sz w:val="16"/>
        </w:rPr>
      </w:pPr>
      <w:r>
        <w:rPr>
          <w:rFonts w:hAnsi="宋体" w:eastAsia="宋体" w:ascii="宋体"/>
          <w:i/>
          <w:color w:val="231F20"/>
          <w:w w:val="102"/>
          <w:sz w:val="16"/>
        </w:rPr>
        <w:br w:type="column"/>
      </w:r>
      <w:r>
        <w:rPr>
          <w:rFonts w:hAnsi="宋体" w:eastAsia="宋体" w:ascii="宋体"/>
          <w:i/>
          <w:color w:val="231F20"/>
          <w:w w:val="105"/>
          <w:sz w:val="16"/>
        </w:rPr>
        <w:t>最佳退火温度的计算</w:t>
      </w:r>
    </w:p>
    <w:p>
      <w:pPr>
        <w:pStyle w:val="BodyText"/>
        <w:spacing w:before="2"/>
        <w:rPr>
          <w:rFonts w:hAnsi="宋体" w:eastAsia="宋体" w:ascii="宋体"/>
          <w:i/>
          <w:sz w:val="19"/>
        </w:rPr>
      </w:pPr>
    </w:p>
    <w:p>
      <w:pPr>
        <w:pStyle w:val="BodyText"/>
        <w:spacing w:line="261" w:lineRule="auto"/>
        <w:ind w:left="290" w:right="110" w:firstLine="239"/>
        <w:jc w:val="both"/>
      </w:pPr>
      <w:r>
        <w:rPr>
          <w:rFonts w:hAnsi="宋体" w:eastAsia="宋体" w:ascii="宋体"/>
        </w:rPr>
        <w:pict>
          <v:shape style="position:absolute;margin-left:389.083405pt;margin-top:77.246918pt;width:5.5pt;height:6.55pt;mso-position-horizontal-relative:page;mso-position-vertical-relative:paragraph;z-index:-16667648" type="#_x0000_t202" id="docshape22" filled="false" stroked="false">
            <v:textbox inset="0,0,0,0">
              <w:txbxContent>
                <w:p>
                  <w:pPr>
                    <w:spacing w:before="5"/>
                    <w:ind w:left="0" w:right="0" w:firstLine="0"/>
                    <w:jc w:val="left"/>
                    <w:rPr>
                      <w:rFonts w:hAnsi="宋体" w:eastAsia="宋体" w:ascii="宋体"/>
                      <w:sz w:val="10"/>
                    </w:rPr>
                  </w:pPr>
                  <w:r>
                    <w:rPr>
                      <w:rFonts w:hAnsi="宋体" w:eastAsia="宋体" w:ascii="宋体"/>
                      <w:color w:val="231F20"/>
                      <w:w w:val="123"/>
                      <w:sz w:val="10"/>
                    </w:rPr>
                    <w:t>m</w:t>
                  </w:r>
                </w:p>
              </w:txbxContent>
            </v:textbox>
            <w10:wrap type="none"/>
          </v:shape>
        </w:pict>
      </w:r>
      <w:r>
        <w:rPr>
          <w:rFonts w:hAnsi="宋体" w:eastAsia="宋体" w:ascii="宋体"/>
          <w:color w:val="231F20"/>
          <w:w w:val="95"/>
        </w:rPr>
        <w:t>最佳退火温度是指在没有非特异性产物的情况下，聚合酶链反应扩增效率最高的温度范围。估算Ta最重要的值是引物质量、引物的Tm和聚合酶链反应片段的长度。与低Tm(b50c)引物相比，高Tm(n60c)引物可用于Ta范围较宽的PCR。聚合酶链反应的最佳退火温度直接计算为Tm (Tmin)最低的引物的值。然而，聚合酶链反应可以在比引物Tm高10℃的温度下工作，尤其是当反应含有高引物浓度(0.6-1.0微米)以利于引物靶双链体形成时:</w:t>
      </w:r>
    </w:p>
    <w:p>
      <w:pPr>
        <w:pStyle w:val="BodyText"/>
        <w:spacing w:before="172"/>
        <w:ind w:left="290"/>
        <w:jc w:val="both"/>
        <w:rPr>
          <w:rFonts w:hAnsi="宋体" w:eastAsia="宋体" w:ascii="宋体"/>
        </w:rPr>
      </w:pPr>
      <w:r>
        <w:rPr>
          <w:rFonts w:hAnsi="宋体" w:eastAsia="宋体" w:ascii="宋体"/>
        </w:rPr>
        <w:pict>
          <v:shape style="position:absolute;margin-left:336.0755pt;margin-top:14.355389pt;width:5.15pt;height:6.9pt;mso-position-horizontal-relative:page;mso-position-vertical-relative:paragraph;z-index:-16667136" type="#_x0000_t202" id="docshape23" filled="false" stroked="false">
            <v:textbox inset="0,0,0,0">
              <w:txbxContent>
                <w:p>
                  <w:pPr>
                    <w:spacing w:before="0"/>
                    <w:ind w:left="0" w:right="0" w:firstLine="0"/>
                    <w:jc w:val="left"/>
                    <w:rPr>
                      <w:rFonts w:hAnsi="宋体" w:eastAsia="宋体" w:ascii="宋体"/>
                      <w:sz w:val="11"/>
                    </w:rPr>
                  </w:pPr>
                  <w:r>
                    <w:rPr>
                      <w:rFonts w:hAnsi="宋体" w:eastAsia="宋体" w:ascii="宋体"/>
                      <w:color w:val="231F20"/>
                      <w:w w:val="104"/>
                      <w:sz w:val="11"/>
                    </w:rPr>
                    <w:t>m</w:t>
                  </w:r>
                </w:p>
              </w:txbxContent>
            </v:textbox>
            <w10:wrap type="none"/>
          </v:shape>
        </w:pict>
      </w:r>
      <w:r>
        <w:rPr>
          <w:rFonts w:hAnsi="宋体" w:eastAsia="宋体" w:ascii="宋体"/>
          <w:color w:val="231F20"/>
          <w:w w:val="110"/>
        </w:rPr>
        <w:t>ta = Tmin+ln(s)；</w:t>
      </w:r>
    </w:p>
    <w:p>
      <w:pPr>
        <w:pStyle w:val="BodyText"/>
        <w:spacing w:before="154"/>
        <w:ind w:left="290"/>
        <w:jc w:val="both"/>
      </w:pPr>
      <w:r>
        <w:rPr>
          <w:rFonts w:hAnsi="宋体" w:eastAsia="宋体" w:ascii="宋体"/>
          <w:color w:val="231F20"/>
        </w:rPr>
        <w:t>其中s是聚合酶链反应片段的长度。</w:t>
      </w:r>
    </w:p>
    <w:p>
      <w:pPr>
        <w:pStyle w:val="BodyText"/>
        <w:spacing w:line="261" w:lineRule="auto" w:before="17"/>
        <w:ind w:left="290" w:right="110" w:firstLine="239"/>
        <w:jc w:val="both"/>
      </w:pPr>
      <w:r>
        <w:rPr>
          <w:rFonts w:hAnsi="宋体" w:eastAsia="宋体" w:ascii="宋体"/>
          <w:color w:val="231F20"/>
          <w:w w:val="95"/>
        </w:rPr>
        <w:t>根据我们的经验以及jPCR算法所基于的400多名快速聚合酶链反应用户的经验(</w:t>
      </w:r>
      <w:hyperlink r:id="rId17">
        <w:r>
          <w:rPr>
            <w:rFonts w:hAnsi="宋体" w:eastAsia="宋体" w:ascii="宋体"/>
            <w:color w:val="2E3092"/>
          </w:rPr>
          <w:t>http://www.primerdigital.</w:t>
        </w:r>
      </w:hyperlink>
      <w:r>
        <w:rPr>
          <w:rFonts w:hAnsi="宋体" w:eastAsia="宋体" w:ascii="宋体"/>
          <w:color w:val="231F20"/>
          <w:spacing w:val="1"/>
        </w:rPr>
        <w:t/>
      </w:r>
      <w:hyperlink r:id="rId17">
        <w:r>
          <w:rPr>
            <w:rFonts w:hAnsi="宋体" w:eastAsia="宋体" w:ascii="宋体"/>
            <w:color w:val="2E3092"/>
            <w:spacing w:val="-1"/>
          </w:rPr>
          <w:t>com/fastpcr/citations.html</w:t>
        </w:r>
      </w:hyperlink>
      <w:r>
        <w:rPr>
          <w:rFonts w:hAnsi="宋体" w:eastAsia="宋体" w:ascii="宋体"/>
          <w:color w:val="231F20"/>
          <w:spacing w:val="-1"/>
        </w:rPr>
        <w:t>)，几乎设计了所有优质引物</w:t>
      </w:r>
    </w:p>
    <w:p>
      <w:pPr>
        <w:pStyle w:val="BodyText"/>
        <w:spacing w:before="1"/>
        <w:rPr>
          <w:rFonts w:hAnsi="宋体" w:eastAsia="宋体" w:ascii="宋体"/>
          <w:sz w:val="25"/>
        </w:rPr>
      </w:pPr>
      <w:r>
        <w:rPr>
          <w:rFonts w:hAnsi="宋体" w:eastAsia="宋体" w:ascii="宋体"/>
        </w:rPr>
        <w:drawing>
          <wp:anchor distT="0" distB="0" distL="0" distR="0" allowOverlap="1" layoutInCell="1" locked="0" behindDoc="0" simplePos="0" relativeHeight="15">
            <wp:simplePos x="0" y="0"/>
            <wp:positionH relativeFrom="page">
              <wp:posOffset>3965041</wp:posOffset>
            </wp:positionH>
            <wp:positionV relativeFrom="paragraph">
              <wp:posOffset>207067</wp:posOffset>
            </wp:positionV>
            <wp:extent cx="3159196" cy="240487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18" cstate="print"/>
                    <a:stretch>
                      <a:fillRect/>
                    </a:stretch>
                  </pic:blipFill>
                  <pic:spPr>
                    <a:xfrm>
                      <a:off x="0" y="0"/>
                      <a:ext cx="3159196" cy="2404872"/>
                    </a:xfrm>
                    <a:prstGeom prst="rect">
                      <a:avLst/>
                    </a:prstGeom>
                  </pic:spPr>
                </pic:pic>
              </a:graphicData>
            </a:graphic>
          </wp:anchor>
        </w:drawing>
      </w:r>
    </w:p>
    <w:p>
      <w:pPr>
        <w:pStyle w:val="BodyText"/>
        <w:spacing w:before="5"/>
        <w:rPr>
          <w:rFonts w:hAnsi="宋体" w:eastAsia="宋体" w:ascii="宋体"/>
          <w:sz w:val="24"/>
        </w:rPr>
      </w:pPr>
    </w:p>
    <w:p>
      <w:pPr>
        <w:spacing w:line="285" w:lineRule="auto" w:before="0"/>
        <w:ind w:left="290" w:right="102" w:firstLine="0"/>
        <w:jc w:val="both"/>
        <w:rPr>
          <w:rFonts w:hAnsi="宋体" w:eastAsia="宋体" w:ascii="宋体"/>
          <w:sz w:val="12"/>
        </w:rPr>
      </w:pPr>
      <w:r>
        <w:rPr>
          <w:rFonts w:hAnsi="宋体" w:eastAsia="宋体" w:ascii="宋体"/>
          <w:color w:val="231F20"/>
          <w:spacing w:val="-4"/>
          <w:w w:val="105"/>
          <w:sz w:val="12"/>
        </w:rPr>
        <w:t>图2。由具有反向重复序列的脱氧核糖核酸分子形成的替代结构(例如在分子信标qPCR探针或LUX引物中)。分子内相互作用将产生发夹(左)，而分子间杂交将产生二聚体(右)。</w:t>
      </w:r>
    </w:p>
    <w:p>
      <w:pPr>
        <w:spacing w:after="0" w:line="285" w:lineRule="auto"/>
        <w:jc w:val="both"/>
        <w:rPr>
          <w:rFonts w:hAnsi="宋体" w:eastAsia="宋体" w:ascii="宋体"/>
          <w:sz w:val="12"/>
        </w:rPr>
        <w:sectPr>
          <w:type w:val="continuous"/>
          <w:pgSz w:w="11910" w:h="15880"/>
          <w:pgMar w:header="688" w:footer="0" w:top="640" w:bottom="280" w:left="560" w:right="560"/>
          <w:cols w:num="2" w:equalWidth="0">
            <w:col w:w="5314" w:space="46"/>
            <w:col w:w="5430"/>
          </w:cols>
        </w:sectPr>
      </w:pPr>
    </w:p>
    <w:p>
      <w:pPr>
        <w:pStyle w:val="BodyText"/>
        <w:spacing w:before="9"/>
        <w:rPr>
          <w:rFonts w:hAnsi="宋体" w:eastAsia="宋体" w:ascii="宋体"/>
          <w:sz w:val="10"/>
        </w:rPr>
      </w:pPr>
    </w:p>
    <w:p>
      <w:pPr>
        <w:spacing w:after="0"/>
        <w:rPr>
          <w:rFonts w:hAnsi="宋体" w:eastAsia="宋体" w:ascii="宋体"/>
          <w:sz w:val="10"/>
        </w:rPr>
        <w:sectPr>
          <w:pgSz w:w="11910" w:h="15880"/>
          <w:pgMar w:header="688" w:footer="0" w:top="880" w:bottom="280" w:left="560" w:right="560"/>
        </w:sectPr>
      </w:pPr>
    </w:p>
    <w:p>
      <w:pPr>
        <w:pStyle w:val="BodyText"/>
        <w:spacing w:before="10"/>
        <w:rPr>
          <w:rFonts w:hAnsi="宋体" w:eastAsia="宋体" w:ascii="宋体"/>
          <w:sz w:val="3"/>
        </w:rPr>
      </w:pPr>
    </w:p>
    <w:p>
      <w:pPr>
        <w:pStyle w:val="BodyText"/>
        <w:ind w:left="148"/>
        <w:rPr>
          <w:rFonts w:hAnsi="宋体" w:eastAsia="宋体" w:ascii="宋体"/>
          <w:sz w:val="20"/>
        </w:rPr>
      </w:pPr>
      <w:r>
        <w:rPr>
          <w:rFonts w:hAnsi="宋体" w:eastAsia="宋体" w:ascii="宋体"/>
          <w:sz w:val="20"/>
        </w:rPr>
        <w:drawing>
          <wp:inline distT="0" distB="0" distL="0" distR="0">
            <wp:extent cx="3149271" cy="1792224"/>
            <wp:effectExtent l="0" t="0" r="0" b="0"/>
            <wp:docPr id="9" name="image5.png"/>
            <wp:cNvGraphicFramePr>
              <a:graphicFrameLocks noChangeAspect="1"/>
            </wp:cNvGraphicFramePr>
            <a:graphic>
              <a:graphicData uri="http://schemas.openxmlformats.org/drawingml/2006/picture">
                <pic:pic>
                  <pic:nvPicPr>
                    <pic:cNvPr id="10" name="image5.png"/>
                    <pic:cNvPicPr/>
                  </pic:nvPicPr>
                  <pic:blipFill>
                    <a:blip r:embed="rId19" cstate="print"/>
                    <a:stretch>
                      <a:fillRect/>
                    </a:stretch>
                  </pic:blipFill>
                  <pic:spPr>
                    <a:xfrm>
                      <a:off x="0" y="0"/>
                      <a:ext cx="3149271" cy="1792224"/>
                    </a:xfrm>
                    <a:prstGeom prst="rect">
                      <a:avLst/>
                    </a:prstGeom>
                  </pic:spPr>
                </pic:pic>
              </a:graphicData>
            </a:graphic>
          </wp:inline>
        </w:drawing>
      </w:r>
      <w:r>
        <w:rPr>
          <w:rFonts w:hAnsi="宋体" w:eastAsia="宋体" w:ascii="宋体"/>
          <w:sz w:val="20"/>
        </w:rPr>
      </w:r>
    </w:p>
    <w:p>
      <w:pPr>
        <w:pStyle w:val="BodyText"/>
      </w:pPr>
    </w:p>
    <w:p>
      <w:pPr>
        <w:spacing w:line="285" w:lineRule="auto" w:before="105"/>
        <w:ind w:left="114" w:right="38" w:firstLine="0"/>
        <w:jc w:val="both"/>
        <w:rPr>
          <w:rFonts w:hAnsi="宋体" w:eastAsia="宋体" w:ascii="宋体"/>
          <w:sz w:val="12"/>
        </w:rPr>
      </w:pPr>
      <w:bookmarkStart w:name="2.7. Primer analyses" w:id="23"/>
      <w:bookmarkEnd w:id="23"/>
      <w:r>
        <w:rPr>
          <w:rFonts w:hAnsi="宋体" w:eastAsia="宋体" w:ascii="宋体"/>
        </w:rPr>
      </w:r>
      <w:bookmarkStart w:name="_bookmark11" w:id="24"/>
      <w:bookmarkEnd w:id="24"/>
      <w:r>
        <w:rPr>
          <w:rFonts w:hAnsi="宋体" w:eastAsia="宋体" w:ascii="宋体"/>
        </w:rPr>
      </w:r>
      <w:r>
        <w:rPr>
          <w:rFonts w:hAnsi="宋体" w:eastAsia="宋体" w:ascii="宋体"/>
          <w:color w:val="231F20"/>
          <w:sz w:val="12"/>
        </w:rPr>
        <w:t>图3。四链体可以由一条、两条或四条单独的脱氧核糖核酸链形成，例如，对称的G-track四链体二聚体可以以相反的方向在两条链之间形成(5′-aagggtgggtggggaatggggtcc)。</w:t>
      </w:r>
    </w:p>
    <w:p>
      <w:pPr>
        <w:pStyle w:val="BodyText"/>
      </w:pPr>
    </w:p>
    <w:p>
      <w:pPr>
        <w:pStyle w:val="BodyText"/>
        <w:spacing w:before="7"/>
      </w:pPr>
    </w:p>
    <w:p>
      <w:pPr>
        <w:pStyle w:val="BodyText"/>
        <w:spacing w:line="261" w:lineRule="auto"/>
        <w:ind w:left="114" w:right="46" w:hanging="1"/>
        <w:jc w:val="both"/>
      </w:pPr>
      <w:r>
        <w:rPr>
          <w:rFonts w:hAnsi="宋体" w:eastAsia="宋体" w:ascii="宋体"/>
          <w:color w:val="231F20"/>
          <w:w w:val="95"/>
        </w:rPr>
        <w:t>默认或“最佳”模式下的jPCR在60至72℃的退火温度下提供扩增而不损失PCR效率，并且在不同的PCR退火温度下以及使用不同的DNA聚合酶和缓冲液时显示出良好的扩增。已经发布了jPCR与用于PCR引物设计和寡核苷酸分析的流行工具的比较，包括最流行的在线引物设计和分析包</w:t>
      </w:r>
      <w:hyperlink r:id="rId20">
        <w:r>
          <w:rPr>
            <w:rFonts w:hAnsi="宋体" w:eastAsia="宋体" w:ascii="宋体"/>
            <w:color w:val="2E3092"/>
          </w:rPr>
          <w:t>http://primerdigital.com/tools/soft.html</w:t>
        </w:r>
      </w:hyperlink>
      <w:r>
        <w:rPr>
          <w:rFonts w:hAnsi="宋体" w:eastAsia="宋体" w:ascii="宋体"/>
          <w:color w:val="231F20"/>
        </w:rPr>
        <w:t>。</w:t>
      </w:r>
    </w:p>
    <w:p>
      <w:pPr>
        <w:pStyle w:val="BodyText"/>
        <w:spacing w:before="7"/>
        <w:rPr>
          <w:rFonts w:hAnsi="宋体" w:eastAsia="宋体" w:ascii="宋体"/>
          <w:sz w:val="17"/>
        </w:rPr>
      </w:pPr>
    </w:p>
    <w:p>
      <w:pPr>
        <w:pStyle w:val="ListParagraph"/>
        <w:numPr>
          <w:ilvl w:val="1"/>
          <w:numId w:val="1"/>
        </w:numPr>
        <w:tabs>
          <w:tab w:pos="413" w:val="left" w:leader="none"/>
        </w:tabs>
        <w:spacing w:line="240" w:lineRule="auto" w:before="0" w:after="0"/>
        <w:ind w:left="412" w:right="0" w:hanging="299"/>
        <w:jc w:val="left"/>
        <w:rPr>
          <w:rFonts w:hAnsi="宋体" w:eastAsia="宋体" w:ascii="宋体"/>
          <w:i/>
          <w:sz w:val="16"/>
        </w:rPr>
      </w:pPr>
      <w:r>
        <w:rPr>
          <w:rFonts w:hAnsi="宋体" w:eastAsia="宋体" w:ascii="宋体"/>
          <w:i/>
          <w:color w:val="231F20"/>
          <w:w w:val="105"/>
          <w:sz w:val="16"/>
        </w:rPr>
        <w:t>初级分析</w:t>
      </w:r>
    </w:p>
    <w:p>
      <w:pPr>
        <w:pStyle w:val="BodyText"/>
        <w:spacing w:before="3"/>
        <w:rPr>
          <w:rFonts w:hAnsi="宋体" w:eastAsia="宋体" w:ascii="宋体"/>
          <w:i/>
          <w:sz w:val="19"/>
        </w:rPr>
      </w:pPr>
    </w:p>
    <w:p>
      <w:pPr>
        <w:pStyle w:val="BodyText"/>
        <w:spacing w:line="261" w:lineRule="auto"/>
        <w:ind w:left="114" w:right="47" w:firstLine="239"/>
        <w:jc w:val="both"/>
      </w:pPr>
      <w:r>
        <w:rPr>
          <w:rFonts w:hAnsi="宋体" w:eastAsia="宋体" w:ascii="宋体"/>
          <w:color w:val="231F20"/>
          <w:spacing w:val="-1"/>
          <w:w w:val="95"/>
        </w:rPr>
        <w:t>使用jPCR、PrimerAna- lyser或PrimersList软件评估单个引物和引物组。他们使用正常和简并核苷酸组合、CG含量、消光系数、单位转换(nmol)、质量(μg/OD)、分子量、语言复杂性和引物聚合酶链反应效率的默认或其他公式计算引物Tm。用户可以选择带有正常或简并寡核苷酸或带有不同标记(例如肌苷、尿苷或荧光染料)的修饰的脱氧核糖核酸或核糖核酸引物。工具允许选择其他最近邻热力学参数或非热力学Tm计算公式。例如，对于寡核苷酸的非热力学Tm计算，我们建议使用简单的公式:</w:t>
      </w:r>
      <w:bookmarkStart w:name="2.9. Multiplex and degenerate primer des" w:id="25"/>
      <w:bookmarkEnd w:id="25"/>
    </w:p>
    <w:p>
      <w:pPr>
        <w:pStyle w:val="BodyText"/>
        <w:spacing w:line="379" w:lineRule="auto" w:before="123"/>
        <w:ind w:left="114" w:right="1441" w:hanging="1"/>
      </w:pPr>
      <w:r>
        <w:rPr>
          <w:rFonts w:hAnsi="宋体" w:eastAsia="宋体" w:ascii="宋体"/>
          <w:color w:val="231F20"/>
          <w:spacing w:val="-1"/>
          <w:w w:val="105"/>
        </w:rPr>
        <w:t>Tm = 2(A + T + U) + 4(G + C)(对于寡b 7 nt)或</w:t>
      </w:r>
    </w:p>
    <w:p>
      <w:pPr>
        <w:pStyle w:val="BodyText"/>
        <w:spacing w:before="96"/>
        <w:ind w:left="114"/>
        <w:rPr>
          <w:rFonts w:hAnsi="宋体" w:eastAsia="宋体" w:ascii="宋体"/>
        </w:rPr>
      </w:pPr>
      <w:r>
        <w:rPr>
          <w:rFonts w:hAnsi="宋体" w:eastAsia="宋体" w:ascii="宋体"/>
          <w:color w:val="231F20"/>
          <w:w w:val="93"/>
        </w:rPr>
        <w:t>TM = 77.1+11.7 log k++ 0.41(GC %)-528/长度[33]。</w:t>
      </w:r>
    </w:p>
    <w:p>
      <w:pPr>
        <w:pStyle w:val="BodyText"/>
        <w:spacing w:line="261" w:lineRule="auto" w:before="246"/>
        <w:ind w:left="114" w:right="47" w:firstLine="239"/>
        <w:jc w:val="both"/>
      </w:pPr>
      <w:r>
        <w:rPr>
          <w:rFonts w:hAnsi="宋体" w:eastAsia="宋体" w:ascii="宋体"/>
          <w:color w:val="231F20"/>
        </w:rPr>
        <w:t>对于锁定核酸(LNA)修饰，使用四个符号:dA=E，dC=F，dG=J，dT=L。这两个程序都执行on-type分析，这允许用户在屏幕上立即看到结果。他们还可以根据已知的干寡核苷酸的质量(毫克)、外径或摩尔数来计算获得特定浓度所需的溶剂体积。</w:t>
      </w:r>
    </w:p>
    <w:p>
      <w:pPr>
        <w:pStyle w:val="BodyText"/>
        <w:spacing w:line="261" w:lineRule="auto"/>
        <w:ind w:left="114" w:right="46" w:firstLine="239"/>
        <w:jc w:val="both"/>
      </w:pPr>
      <w:r>
        <w:rPr>
          <w:rFonts w:hAnsi="宋体" w:eastAsia="宋体" w:ascii="宋体"/>
          <w:color w:val="231F20"/>
          <w:spacing w:val="-2"/>
        </w:rPr>
        <w:t>分析所有引物的引物内和引物间相互作用，形成二聚体。引物可以利用序列的5’端或中间有效杂交。尽管这种相互作用没有被脱氧核糖核酸聚合酶有效地延伸，但是它们的形成降低了可用于结合靶的有效引物浓度，并且它们的存在可以强烈抑制聚合酶链反应，因为高浓度的双链脱氧核糖核酸是脱氧核糖核酸聚合酶的强抑制剂。</w:t>
      </w:r>
    </w:p>
    <w:p>
      <w:pPr>
        <w:pStyle w:val="BodyText"/>
        <w:spacing w:before="4"/>
        <w:rPr>
          <w:rFonts w:hAnsi="宋体" w:eastAsia="宋体" w:ascii="宋体"/>
          <w:sz w:val="17"/>
        </w:rPr>
      </w:pPr>
    </w:p>
    <w:p>
      <w:pPr>
        <w:pStyle w:val="ListParagraph"/>
        <w:numPr>
          <w:ilvl w:val="1"/>
          <w:numId w:val="1"/>
        </w:numPr>
        <w:tabs>
          <w:tab w:pos="413" w:val="left" w:leader="none"/>
        </w:tabs>
        <w:spacing w:line="240" w:lineRule="auto" w:before="0" w:after="0"/>
        <w:ind w:left="412" w:right="0" w:hanging="299"/>
        <w:jc w:val="left"/>
        <w:rPr>
          <w:rFonts w:hAnsi="宋体" w:eastAsia="宋体" w:ascii="宋体"/>
          <w:i/>
          <w:sz w:val="16"/>
        </w:rPr>
      </w:pPr>
      <w:bookmarkStart w:name="2.8. The secondary non-specific binding " w:id="26"/>
      <w:bookmarkEnd w:id="26"/>
      <w:r>
        <w:rPr>
          <w:rFonts w:hAnsi="宋体" w:eastAsia="宋体" w:ascii="宋体"/>
        </w:rPr>
      </w:r>
      <w:bookmarkStart w:name="2.8. The secondary non-specific binding " w:id="27"/>
      <w:bookmarkEnd w:id="27"/>
      <w:r>
        <w:rPr>
          <w:rFonts w:hAnsi="宋体" w:eastAsia="宋体" w:ascii="宋体"/>
          <w:i/>
          <w:color w:val="231F20"/>
          <w:w w:val="105"/>
          <w:sz w:val="16"/>
        </w:rPr>
        <w:t>二级非特异性结合试验；替代放大</w:t>
      </w:r>
    </w:p>
    <w:p>
      <w:pPr>
        <w:pStyle w:val="BodyText"/>
        <w:spacing w:before="6"/>
        <w:rPr>
          <w:rFonts w:hAnsi="宋体" w:eastAsia="宋体" w:ascii="宋体"/>
          <w:i/>
          <w:sz w:val="18"/>
        </w:rPr>
      </w:pPr>
    </w:p>
    <w:p>
      <w:pPr>
        <w:pStyle w:val="BodyText"/>
        <w:spacing w:line="261" w:lineRule="auto"/>
        <w:ind w:left="114" w:right="46" w:firstLine="239"/>
        <w:jc w:val="both"/>
      </w:pPr>
      <w:r>
        <w:rPr>
          <w:rFonts w:hAnsi="宋体" w:eastAsia="宋体" w:ascii="宋体"/>
          <w:color w:val="231F20"/>
          <w:spacing w:val="-1"/>
        </w:rPr>
        <w:t>寡核苷酸的特异性是良好聚合酶链反应的最重要因素之一；最佳引物应该只与目标杂交</w:t>
      </w:r>
    </w:p>
    <w:p>
      <w:pPr>
        <w:pStyle w:val="BodyText"/>
        <w:spacing w:line="261" w:lineRule="auto" w:before="98"/>
        <w:ind w:left="114" w:right="286"/>
        <w:jc w:val="both"/>
      </w:pPr>
      <w:r>
        <w:rPr>
          <w:rFonts w:hAnsi="宋体" w:eastAsia="宋体" w:ascii="宋体"/>
        </w:rPr>
        <w:br w:type="column"/>
      </w:r>
      <w:r>
        <w:rPr>
          <w:rFonts w:hAnsi="宋体" w:eastAsia="宋体" w:ascii="宋体"/>
          <w:color w:val="231F20"/>
        </w:rPr>
        <w:t>序列，特别是当复杂的基因组DNA用作模板时。扩增问题可能是由于引物退火到重复序列(反转座子、脱氧核糖核酸转座子或串联重复序列)而引起的。当引物与反向重复序列互补并产生多个条带时，也可以发生替代产物扩增。当引物是使用特定的脱氧核糖核酸序列设计的(独特的聚合酶链反应)时，这是不可能的。然而，反向重复序列的产生在两种常见的通用DNA指纹方法中被利用——RAPD和聚合酶链反应</w:t>
      </w:r>
      <w:hyperlink w:history="true" w:anchor="_bookmark17">
        <w:r>
          <w:rPr>
            <w:rFonts w:hAnsi="宋体" w:eastAsia="宋体" w:ascii="宋体"/>
            <w:color w:val="2E3092"/>
            <w:w w:val="95"/>
          </w:rPr>
          <w:t>[34,35]</w:t>
        </w:r>
      </w:hyperlink>
      <w:r>
        <w:rPr>
          <w:rFonts w:hAnsi="宋体" w:eastAsia="宋体" w:ascii="宋体"/>
          <w:color w:val="231F20"/>
          <w:w w:val="95"/>
        </w:rPr>
        <w:t>。因为在这些聚合酶链反应中只使用了一个引物，所以产物的末端必须是反向互补的，因此可以形成茎环。</w:t>
      </w:r>
    </w:p>
    <w:p>
      <w:pPr>
        <w:pStyle w:val="BodyText"/>
        <w:spacing w:line="261" w:lineRule="auto"/>
        <w:ind w:left="114" w:right="287" w:firstLine="239"/>
        <w:jc w:val="both"/>
      </w:pPr>
      <w:r>
        <w:rPr>
          <w:rFonts w:hAnsi="宋体" w:eastAsia="宋体" w:ascii="宋体"/>
          <w:color w:val="231F20"/>
          <w:w w:val="95"/>
        </w:rPr>
        <w:t>反转座子间扩增多态性技术、反转座子-微卫星扩增多态性技术、MITE间扩增技术</w:t>
      </w:r>
      <w:hyperlink w:history="true" w:anchor="_bookmark17">
        <w:r>
          <w:rPr>
            <w:rFonts w:hAnsi="宋体" w:eastAsia="宋体" w:ascii="宋体"/>
            <w:color w:val="2E3092"/>
            <w:w w:val="95"/>
          </w:rPr>
          <w:t>[12,36,37]</w:t>
        </w:r>
      </w:hyperlink>
      <w:r>
        <w:rPr>
          <w:rFonts w:hAnsi="宋体" w:eastAsia="宋体" w:ascii="宋体"/>
          <w:color w:val="231F20"/>
          <w:w w:val="95"/>
        </w:rPr>
        <w:t>，和Alu-重复多形</w:t>
      </w:r>
      <w:hyperlink w:history="true" w:anchor="_bookmark17">
        <w:r>
          <w:rPr>
            <w:rFonts w:hAnsi="宋体" w:eastAsia="宋体" w:ascii="宋体"/>
            <w:color w:val="2E3092"/>
            <w:w w:val="95"/>
          </w:rPr>
          <w:t>[38,39] </w:t>
        </w:r>
      </w:hyperlink>
      <w:r>
        <w:rPr>
          <w:rFonts w:hAnsi="宋体" w:eastAsia="宋体" w:ascii="宋体"/>
          <w:color w:val="231F20"/>
          <w:w w:val="95"/>
        </w:rPr>
        <w:t>利用这些高度丰富的分散重复序列作为标记。然而，与重复DNA互补的引物可能在单引物扩增中产生许多非特异性条带，并损害独特的多克隆抗体的性能。引物序列的同源性搜索，例如使用“blastn”对GenBank或EMBL-Bank中的所有序列进行同源性搜索，将确定引物是否可能与分散的重复序列相互作用。或者，人们可以基于Repbase中的重复序列创建一个小型的局部专门文库</w:t>
      </w:r>
      <w:hyperlink w:history="true" w:anchor="_bookmark17">
        <w:r>
          <w:rPr>
            <w:rFonts w:hAnsi="宋体" w:eastAsia="宋体" w:ascii="宋体"/>
            <w:color w:val="2E3092"/>
            <w:w w:val="95"/>
          </w:rPr>
          <w:t>[40] </w:t>
        </w:r>
      </w:hyperlink>
      <w:r>
        <w:rPr>
          <w:rFonts w:hAnsi="宋体" w:eastAsia="宋体" w:ascii="宋体"/>
          <w:color w:val="231F20"/>
          <w:w w:val="95"/>
        </w:rPr>
        <w:t>或者TREP [</w:t>
      </w:r>
      <w:hyperlink r:id="rId21">
        <w:r>
          <w:rPr>
            <w:rFonts w:hAnsi="宋体" w:eastAsia="宋体" w:ascii="宋体"/>
            <w:color w:val="2E3092"/>
          </w:rPr>
          <w:t>http://wheat.pw.usda.gov/ITMI/Repeats/</w:t>
        </w:r>
      </w:hyperlink>
      <w:r>
        <w:rPr>
          <w:rFonts w:hAnsi="宋体" w:eastAsia="宋体" w:ascii="宋体"/>
          <w:color w:val="231F20"/>
        </w:rPr>
        <w:t>].</w:t>
      </w:r>
    </w:p>
    <w:p>
      <w:pPr>
        <w:pStyle w:val="BodyText"/>
        <w:spacing w:line="261" w:lineRule="auto"/>
        <w:ind w:left="114" w:right="286" w:firstLine="239"/>
        <w:jc w:val="both"/>
      </w:pPr>
      <w:r>
        <w:rPr>
          <w:rFonts w:hAnsi="宋体" w:eastAsia="宋体" w:ascii="宋体"/>
          <w:color w:val="231F20"/>
          <w:w w:val="95"/>
        </w:rPr>
        <w:t>默认情况下，jPCR对每个给定序列执行非特异性结合测试。此外，软件允许对照一个或多个参考序列(如BAC、YAC)或自己的数据库进行该测试。与当前序列上一个以上位置结合的引物将被拒绝。即使非特异性引物结合测试作为所有引物的默认测试进行，用户也可以取消操作。包括错配杂交在内的二级结合位点的鉴定通常通过考虑引物与沿着整个引物序列的靶的相似性来进行。一个隐含的假设是引物与模板的稳定杂交是由脱氧核糖核酸聚合酶引发的先决条件。jPCR特别关注引物的3’末端部分，并计算引物3’末端与目标的相似性(长度由用户选择)，以确定3’末端的稳定性。二级非特异性引物结合试验是基于参考序列和输入序列之间快速、无间隙的局部比对(允许9聚体的散列指数中有一个错配)。</w:t>
      </w:r>
    </w:p>
    <w:p>
      <w:pPr>
        <w:pStyle w:val="BodyText"/>
        <w:spacing w:before="4"/>
      </w:pPr>
    </w:p>
    <w:p>
      <w:pPr>
        <w:pStyle w:val="ListParagraph"/>
        <w:numPr>
          <w:ilvl w:val="1"/>
          <w:numId w:val="1"/>
        </w:numPr>
        <w:tabs>
          <w:tab w:pos="413" w:val="left" w:leader="none"/>
        </w:tabs>
        <w:spacing w:line="240" w:lineRule="auto" w:before="0" w:after="0"/>
        <w:ind w:left="412" w:right="0" w:hanging="299"/>
        <w:jc w:val="left"/>
        <w:rPr>
          <w:rFonts w:hAnsi="宋体" w:eastAsia="宋体" w:ascii="宋体"/>
          <w:i/>
          <w:sz w:val="16"/>
        </w:rPr>
      </w:pPr>
      <w:r>
        <w:rPr>
          <w:rFonts w:hAnsi="宋体" w:eastAsia="宋体" w:ascii="宋体"/>
          <w:i/>
          <w:color w:val="231F20"/>
          <w:w w:val="105"/>
          <w:sz w:val="16"/>
        </w:rPr>
        <w:t>多重简并引物设计</w:t>
      </w:r>
    </w:p>
    <w:p>
      <w:pPr>
        <w:pStyle w:val="BodyText"/>
        <w:spacing w:before="2"/>
        <w:rPr>
          <w:rFonts w:hAnsi="宋体" w:eastAsia="宋体" w:ascii="宋体"/>
          <w:i/>
          <w:sz w:val="19"/>
        </w:rPr>
      </w:pPr>
    </w:p>
    <w:p>
      <w:pPr>
        <w:pStyle w:val="BodyText"/>
        <w:spacing w:line="261" w:lineRule="auto"/>
        <w:ind w:left="114" w:right="287" w:firstLine="239"/>
        <w:jc w:val="both"/>
      </w:pPr>
      <w:r>
        <w:rPr>
          <w:rFonts w:hAnsi="宋体" w:eastAsia="宋体" w:ascii="宋体"/>
          <w:color w:val="231F20"/>
        </w:rPr>
        <w:t>多重聚合酶链反应是一种常用于在单个反应中扩增多个脱氧核糖核酸靶区的方法。许多靶标的同时扩增减少了需要进行的反应数量；多重聚合酶链反应因此提高了生产效率。多重聚合酶链反应检测的设计可能是困难的，因为它涉及对交叉相互作用的引物对的大量计算分析。为了实现靶的均匀扩增，引物必须设计成以相同的效率与其靶结合。jPCR可以为所有输入序列和/或每个序列内的多重靶标快速设计一套多重PCR引物。PCR条件可能需要调整；例如，提高或降低退火温度，使得所有的产物被同等有效地放大。为了实现这一点，大多数现有的多重引物设计包使用引物熔化温度。</w:t>
      </w:r>
    </w:p>
    <w:p>
      <w:pPr>
        <w:pStyle w:val="BodyText"/>
        <w:spacing w:line="261" w:lineRule="auto"/>
        <w:ind w:left="114" w:right="287" w:firstLine="239"/>
        <w:jc w:val="both"/>
      </w:pPr>
      <w:r>
        <w:rPr>
          <w:rFonts w:hAnsi="宋体" w:eastAsia="宋体" w:ascii="宋体"/>
          <w:color w:val="231F20"/>
        </w:rPr>
        <w:t>实际上，几乎相同的Ta和Tm的设计非常重要。聚合酶链反应产物的熔化温度也很重要，因为它们与退火温度值有关。聚合酶链反应产物的Tm取决于其气相色谱含量和长度；短产物在低PCR退火温度(100 bp，55℃)下比长产物(3000 bp，n60℃)更有效地扩增。对于大多数多重聚合酶链反应，在所有引物对的最佳Ta和聚合酶链反应产物之间通常有一个小的变化(高达5℃)。退火温度必须是最佳的，以便最大化</w:t>
      </w:r>
    </w:p>
    <w:p>
      <w:pPr>
        <w:spacing w:after="0" w:line="261" w:lineRule="auto"/>
        <w:jc w:val="both"/>
        <w:sectPr>
          <w:type w:val="continuous"/>
          <w:pgSz w:w="11910" w:h="15880"/>
          <w:pgMar w:header="688" w:footer="0" w:top="640" w:bottom="280" w:left="560" w:right="560"/>
          <w:cols w:num="2" w:equalWidth="0">
            <w:col w:w="5186" w:space="173"/>
            <w:col w:w="5431"/>
          </w:cols>
        </w:sectPr>
      </w:pPr>
    </w:p>
    <w:p>
      <w:pPr>
        <w:pStyle w:val="BodyText"/>
        <w:spacing w:before="7"/>
        <w:rPr>
          <w:rFonts w:hAnsi="宋体" w:eastAsia="宋体" w:ascii="宋体"/>
          <w:sz w:val="10"/>
        </w:rPr>
      </w:pPr>
    </w:p>
    <w:p>
      <w:pPr>
        <w:spacing w:after="0"/>
        <w:rPr>
          <w:rFonts w:hAnsi="宋体" w:eastAsia="宋体" w:ascii="宋体"/>
          <w:sz w:val="10"/>
        </w:rPr>
        <w:sectPr>
          <w:pgSz w:w="11910" w:h="15880"/>
          <w:pgMar w:header="688" w:footer="0" w:top="880" w:bottom="280" w:left="560" w:right="560"/>
        </w:sectPr>
      </w:pPr>
    </w:p>
    <w:p>
      <w:pPr>
        <w:pStyle w:val="BodyText"/>
        <w:spacing w:line="261" w:lineRule="auto" w:before="100"/>
        <w:ind w:left="290"/>
        <w:jc w:val="both"/>
      </w:pPr>
      <w:bookmarkStart w:name="2.11. Polymerase extension PCR for fragm" w:id="28"/>
      <w:bookmarkEnd w:id="28"/>
      <w:r>
        <w:rPr>
          <w:rFonts w:hAnsi="宋体" w:eastAsia="宋体" w:ascii="宋体"/>
        </w:rPr>
      </w:r>
      <w:bookmarkStart w:name="2.12. Oligonucleotide design for assembl" w:id="29"/>
      <w:bookmarkEnd w:id="29"/>
      <w:r>
        <w:rPr>
          <w:rFonts w:hAnsi="宋体" w:eastAsia="宋体" w:ascii="宋体"/>
        </w:rPr>
      </w:r>
      <w:r>
        <w:rPr>
          <w:rFonts w:hAnsi="宋体" w:eastAsia="宋体" w:ascii="宋体"/>
          <w:color w:val="231F20"/>
        </w:rPr>
        <w:t>扩增目标基因组序列的可能性，同时将非特异性扩增的风险降至最低。进一步的改进可以通过选择最大化普通引物范围的最佳引物组来实现。一旦出现提示，jPCR将为给定的目标序列计算多重聚合酶链反应引物对。计算速度取决于涉及的靶序列和引物对的数量。</w:t>
      </w:r>
    </w:p>
    <w:p>
      <w:pPr>
        <w:pStyle w:val="BodyText"/>
        <w:spacing w:line="261" w:lineRule="auto"/>
        <w:ind w:left="290" w:firstLine="239"/>
        <w:jc w:val="both"/>
      </w:pPr>
      <w:r>
        <w:rPr>
          <w:rFonts w:hAnsi="宋体" w:eastAsia="宋体" w:ascii="宋体"/>
          <w:color w:val="231F20"/>
        </w:rPr>
        <w:t>设计相容的多重聚合酶链反应引物对的另一种方法是使用预先设计的引物作为设计新引物的参考。用户还可以选择聚合酶链反应产物的输入选项，例如扩增子之间的最小产物大小差异。可以为每个给定序列单独设置引物设计条件，或者使用共同的值。与常规设置相比，单独设置对聚合酶链反应引物或探针设计具有更高的优先级。结果包括单个序列的引物、相容的引物、产物大小和退火温度。因为产物的明确区分依赖于在单个反应中使用相容的引物对，该程序回收引物组合的所有潜在变体，用于分析所选的DNA区域，并以表格形式提供它们与信息的相容性，包括引物二聚体、交叉杂交、产物大小重叠和基于Tm的类似替代引物对。用户可以选择那些提供所需产品尺寸的替代相容引物对组合。使用该程序，研究人员可以通过改变上述过滤条件，从目标中选择预先设计的引物对进行所需类型的聚合酶链反应。例如，传统的多重聚合酶链反应需要一组目标基因的不同大小(至少10 bp)的扩增子，因此可以选择聚合酶链反应产物之间最小大小差异的值。</w:t>
      </w:r>
    </w:p>
    <w:p>
      <w:pPr>
        <w:pStyle w:val="BodyText"/>
        <w:spacing w:line="181" w:lineRule="exact"/>
        <w:ind w:left="529"/>
      </w:pPr>
      <w:r>
        <w:rPr>
          <w:rFonts w:hAnsi="宋体" w:eastAsia="宋体" w:ascii="宋体"/>
          <w:color w:val="231F20"/>
          <w:w w:val="95"/>
        </w:rPr>
        <w:t>除了需要避免相同大小的扩增子之外，多重聚合酶链反应</w:t>
      </w:r>
    </w:p>
    <w:p>
      <w:pPr>
        <w:pStyle w:val="BodyText"/>
        <w:spacing w:line="261" w:lineRule="auto" w:before="15"/>
        <w:ind w:left="290"/>
        <w:jc w:val="both"/>
      </w:pPr>
      <w:r>
        <w:rPr>
          <w:rFonts w:hAnsi="宋体" w:eastAsia="宋体" w:ascii="宋体"/>
          <w:color w:val="231F20"/>
        </w:rPr>
        <w:t>还必须最小化引物二聚体和次级产物的产生，随着反应中引物数量的增加，这变得更加困难。为了避免非特异性扩增的问题，jPCR允许通过选择避免重复或其他基序的序列来选择最有可能只产生靶序列扩增子的引物对。该程序还允许用户不仅设计相容的引物对，而且为不同的靶或序列设计相容的单一引物。</w:t>
      </w:r>
      <w:bookmarkStart w:name="2.13. In silico PCR" w:id="30"/>
      <w:bookmarkEnd w:id="30"/>
    </w:p>
    <w:p>
      <w:pPr>
        <w:pStyle w:val="BodyText"/>
        <w:spacing w:before="7"/>
        <w:rPr>
          <w:rFonts w:hAnsi="宋体" w:eastAsia="宋体" w:ascii="宋体"/>
          <w:sz w:val="17"/>
        </w:rPr>
      </w:pPr>
    </w:p>
    <w:p>
      <w:pPr>
        <w:pStyle w:val="ListParagraph"/>
        <w:numPr>
          <w:ilvl w:val="1"/>
          <w:numId w:val="1"/>
        </w:numPr>
        <w:tabs>
          <w:tab w:pos="676" w:val="left" w:leader="none"/>
        </w:tabs>
        <w:spacing w:line="240" w:lineRule="auto" w:before="0" w:after="0"/>
        <w:ind w:left="675" w:right="0" w:hanging="386"/>
        <w:jc w:val="left"/>
        <w:rPr>
          <w:rFonts w:hAnsi="宋体" w:eastAsia="宋体" w:ascii="宋体"/>
          <w:i/>
          <w:sz w:val="16"/>
        </w:rPr>
      </w:pPr>
      <w:bookmarkStart w:name="2.10. Group-specific PCR primers" w:id="31"/>
      <w:bookmarkEnd w:id="31"/>
      <w:r>
        <w:rPr>
          <w:rFonts w:hAnsi="宋体" w:eastAsia="宋体" w:ascii="宋体"/>
        </w:rPr>
      </w:r>
      <w:bookmarkStart w:name="2.10. Group-specific PCR primers" w:id="32"/>
      <w:bookmarkEnd w:id="32"/>
      <w:r>
        <w:rPr>
          <w:rFonts w:hAnsi="宋体" w:eastAsia="宋体" w:ascii="宋体"/>
          <w:i/>
          <w:color w:val="231F20"/>
          <w:w w:val="105"/>
          <w:sz w:val="16"/>
        </w:rPr>
        <w:t>群体特异性聚合酶链反应引物</w:t>
      </w:r>
    </w:p>
    <w:p>
      <w:pPr>
        <w:pStyle w:val="BodyText"/>
        <w:spacing w:before="6"/>
        <w:rPr>
          <w:rFonts w:hAnsi="宋体" w:eastAsia="宋体" w:ascii="宋体"/>
          <w:i/>
          <w:sz w:val="18"/>
        </w:rPr>
      </w:pPr>
    </w:p>
    <w:p>
      <w:pPr>
        <w:pStyle w:val="BodyText"/>
        <w:spacing w:line="261" w:lineRule="auto"/>
        <w:ind w:left="290" w:right="1" w:firstLine="239"/>
        <w:jc w:val="both"/>
      </w:pPr>
      <w:r>
        <w:rPr>
          <w:rFonts w:hAnsi="宋体" w:eastAsia="宋体" w:ascii="宋体"/>
          <w:color w:val="231F20"/>
          <w:spacing w:val="-1"/>
          <w:w w:val="95"/>
        </w:rPr>
        <w:t>群体特异性扩增，也称为家族特异性和序列特异性扩增，是相关基因、序列和基因组比较研究的重要工具，可应用于进化研究，特别是基因家族和克隆新的相关序列。特定的目标，如抗病类似物(NBS- profiling)或转座因子可以被扩增，以揭示与这些序列相关的脱氧核糖核酸多态性。设计组特异性聚合酶链反应引物的总体策略是使用9聚体的散列指数来识别目标序列中的公共区域，遵循当前序列的标准聚合酶链反应设计，然后测试这些引物与其他序列的互补性。与Primaclade软件相比</w:t>
      </w:r>
      <w:hyperlink w:history="true" w:anchor="_bookmark17">
        <w:r>
          <w:rPr>
            <w:rFonts w:hAnsi="宋体" w:eastAsia="宋体" w:ascii="宋体"/>
            <w:color w:val="2E3092"/>
            <w:spacing w:val="-3"/>
            <w:w w:val="95"/>
          </w:rPr>
          <w:t>[7]</w:t>
        </w:r>
      </w:hyperlink>
      <w:r>
        <w:rPr>
          <w:rFonts w:hAnsi="宋体" w:eastAsia="宋体" w:ascii="宋体"/>
          <w:color w:val="231F20"/>
          <w:spacing w:val="-3"/>
          <w:w w:val="95"/>
        </w:rPr>
        <w:t>Primique</w:t>
      </w:r>
      <w:hyperlink w:history="true" w:anchor="_bookmark17">
        <w:r>
          <w:rPr>
            <w:rFonts w:hAnsi="宋体" w:eastAsia="宋体" w:ascii="宋体"/>
            <w:color w:val="2E3092"/>
            <w:spacing w:val="-3"/>
            <w:w w:val="95"/>
          </w:rPr>
          <w:t>[8]</w:t>
        </w:r>
      </w:hyperlink>
      <w:r>
        <w:rPr>
          <w:rFonts w:hAnsi="宋体" w:eastAsia="宋体" w:ascii="宋体"/>
          <w:color w:val="231F20"/>
          <w:spacing w:val="-3"/>
          <w:w w:val="95"/>
        </w:rPr>
        <w:t>，UniPrime</w:t>
      </w:r>
      <w:hyperlink w:history="true" w:anchor="_bookmark17">
        <w:r>
          <w:rPr>
            <w:rFonts w:hAnsi="宋体" w:eastAsia="宋体" w:ascii="宋体"/>
            <w:color w:val="2E3092"/>
            <w:spacing w:val="-3"/>
            <w:w w:val="95"/>
          </w:rPr>
          <w:t>[6] </w:t>
        </w:r>
      </w:hyperlink>
      <w:r>
        <w:rPr>
          <w:rFonts w:hAnsi="宋体" w:eastAsia="宋体" w:ascii="宋体"/>
          <w:color w:val="231F20"/>
          <w:spacing w:val="-3"/>
          <w:w w:val="95"/>
        </w:rPr>
        <w:t>还有GeneFisher</w:t>
      </w:r>
      <w:hyperlink w:history="true" w:anchor="_bookmark17">
        <w:r>
          <w:rPr>
            <w:rFonts w:hAnsi="宋体" w:eastAsia="宋体" w:ascii="宋体"/>
            <w:color w:val="2E3092"/>
            <w:spacing w:val="-2"/>
            <w:w w:val="95"/>
          </w:rPr>
          <w:t>[11]</w:t>
        </w:r>
      </w:hyperlink>
      <w:r>
        <w:rPr>
          <w:rFonts w:hAnsi="宋体" w:eastAsia="宋体" w:ascii="宋体"/>
          <w:color w:val="231F20"/>
          <w:spacing w:val="-2"/>
          <w:w w:val="95"/>
        </w:rPr>
        <w:t>，jPCR不使用序列比对，使其可以灵活地使用不同的策略进行引物设计。jPCR不设计简并PCR引物来扩增所有相关序列的保守或多态性区域。</w:t>
      </w:r>
      <w:bookmarkStart w:name="2.14. Simple sequence repeat (SSR) locus" w:id="33"/>
      <w:bookmarkEnd w:id="33"/>
    </w:p>
    <w:p>
      <w:pPr>
        <w:pStyle w:val="BodyText"/>
        <w:spacing w:line="261" w:lineRule="auto"/>
        <w:ind w:left="290" w:firstLine="239"/>
        <w:jc w:val="both"/>
      </w:pPr>
      <w:r>
        <w:rPr>
          <w:rFonts w:hAnsi="宋体" w:eastAsia="宋体" w:ascii="宋体"/>
          <w:color w:val="231F20"/>
        </w:rPr>
        <w:t>jPCR包为每个给定序列设计大组通用引物对，鉴定保守区域，并为所有给定靶产生合适的引物。算法的步骤是自动执行的，用户可以影响底漆设计选项的一般选项。只要有可能在集合中找到短的(至少12 nT)共有序列，jPCR将与任何序列源一起工作。引物设计的质量取决于序列关系、系统发生的相似性以及共有序列对设计好引物的适用性。</w:t>
      </w:r>
    </w:p>
    <w:p>
      <w:pPr>
        <w:pStyle w:val="BodyText"/>
        <w:spacing w:line="261" w:lineRule="auto" w:before="100"/>
        <w:ind w:left="290" w:right="111"/>
        <w:jc w:val="both"/>
      </w:pPr>
      <w:r>
        <w:rPr>
          <w:rFonts w:hAnsi="宋体" w:eastAsia="宋体" w:ascii="宋体"/>
        </w:rPr>
        <w:br w:type="column"/>
      </w:r>
      <w:r>
        <w:rPr>
          <w:rFonts w:hAnsi="宋体" w:eastAsia="宋体" w:ascii="宋体"/>
          <w:color w:val="231F20"/>
        </w:rPr>
        <w:t>该软件能够独立地为每组序列生成适用于所有序列的组特异性引物。组特异性聚合酶链反应引物的引物比对参数类似于用于电子聚合酶链反应的参数。该软件已经在群体特异性聚合酶链反应中进行了广泛的实验测试。</w:t>
      </w:r>
    </w:p>
    <w:p>
      <w:pPr>
        <w:pStyle w:val="BodyText"/>
        <w:spacing w:before="7"/>
        <w:rPr>
          <w:rFonts w:hAnsi="宋体" w:eastAsia="宋体" w:ascii="宋体"/>
          <w:sz w:val="17"/>
        </w:rPr>
      </w:pPr>
    </w:p>
    <w:p>
      <w:pPr>
        <w:pStyle w:val="ListParagraph"/>
        <w:numPr>
          <w:ilvl w:val="1"/>
          <w:numId w:val="1"/>
        </w:numPr>
        <w:tabs>
          <w:tab w:pos="676" w:val="left" w:leader="none"/>
        </w:tabs>
        <w:spacing w:line="240" w:lineRule="auto" w:before="0" w:after="0"/>
        <w:ind w:left="675" w:right="0" w:hanging="386"/>
        <w:jc w:val="left"/>
        <w:rPr>
          <w:rFonts w:hAnsi="宋体" w:eastAsia="宋体" w:ascii="宋体"/>
          <w:i/>
          <w:sz w:val="16"/>
        </w:rPr>
      </w:pPr>
      <w:r>
        <w:rPr>
          <w:rFonts w:hAnsi="宋体" w:eastAsia="宋体" w:ascii="宋体"/>
          <w:i/>
          <w:color w:val="231F20"/>
          <w:w w:val="105"/>
          <w:sz w:val="16"/>
        </w:rPr>
        <w:t>用于片段组装的聚合酶链反应延伸</w:t>
      </w:r>
    </w:p>
    <w:p>
      <w:pPr>
        <w:pStyle w:val="BodyText"/>
        <w:spacing w:before="2"/>
        <w:rPr>
          <w:rFonts w:hAnsi="宋体" w:eastAsia="宋体" w:ascii="宋体"/>
          <w:i/>
          <w:sz w:val="19"/>
        </w:rPr>
      </w:pPr>
    </w:p>
    <w:p>
      <w:pPr>
        <w:pStyle w:val="BodyText"/>
        <w:spacing w:line="261" w:lineRule="auto"/>
        <w:ind w:left="290" w:right="110" w:firstLine="239"/>
        <w:jc w:val="both"/>
      </w:pPr>
      <w:r>
        <w:rPr>
          <w:rFonts w:hAnsi="宋体" w:eastAsia="宋体" w:ascii="宋体"/>
          <w:color w:val="231F20"/>
        </w:rPr>
        <w:t>不依赖序列的克隆，包括不依赖连接的克隆(LIC)</w:t>
      </w:r>
      <w:hyperlink w:history="true" w:anchor="_bookmark17">
        <w:r>
          <w:rPr>
            <w:rFonts w:hAnsi="宋体" w:eastAsia="宋体" w:ascii="宋体"/>
            <w:color w:val="2E3092"/>
            <w:w w:val="95"/>
          </w:rPr>
          <w:t>[41] </w:t>
        </w:r>
      </w:hyperlink>
      <w:r>
        <w:rPr>
          <w:rFonts w:hAnsi="宋体" w:eastAsia="宋体" w:ascii="宋体"/>
          <w:color w:val="231F20"/>
          <w:w w:val="95"/>
        </w:rPr>
        <w:t>需要在载体和插入片段中产生互补的单链突出端。类似地，在PCR中可以使用重叠引物以有序的方式连接或连接多个片段</w:t>
      </w:r>
      <w:hyperlink w:history="true" w:anchor="_bookmark17">
        <w:r>
          <w:rPr>
            <w:rFonts w:hAnsi="宋体" w:eastAsia="宋体" w:ascii="宋体"/>
            <w:color w:val="2E3092"/>
          </w:rPr>
          <w:t>[42]</w:t>
        </w:r>
      </w:hyperlink>
      <w:r>
        <w:rPr>
          <w:rFonts w:hAnsi="宋体" w:eastAsia="宋体" w:ascii="宋体"/>
          <w:color w:val="231F20"/>
        </w:rPr>
        <w:t>。引物重叠中不同靶之间互补区域的退火允许聚合酶在热循环过程中合成包含靶序列的连续片段，这一过程称为“重叠延伸聚合酶链反应”(OE-PCR)</w:t>
      </w:r>
      <w:hyperlink w:history="true" w:anchor="_bookmark17">
        <w:r>
          <w:rPr>
            <w:rFonts w:hAnsi="宋体" w:eastAsia="宋体" w:ascii="宋体"/>
            <w:color w:val="2E3092"/>
            <w:w w:val="95"/>
          </w:rPr>
          <w:t>[43]</w:t>
        </w:r>
      </w:hyperlink>
      <w:r>
        <w:rPr>
          <w:rFonts w:hAnsi="宋体" w:eastAsia="宋体" w:ascii="宋体"/>
          <w:color w:val="231F20"/>
          <w:w w:val="95"/>
        </w:rPr>
        <w:t>。效率取决于Tm以及重叠的长度和唯一性。为了实现这一点，该程序在每个片段的末端设计相容的正向和反向引物，然后使用来自最终产物中相邻片段引物的序列延伸引物的5’末端。该程序选择重叠区域，使得来自重叠片段的引物在大小和最佳退火温度上相似。该程序添加了所需的碱基，使得重叠的Tm与初始引物的Tm相似或更高。在合适的引物对中测试引物的二聚体。</w:t>
      </w:r>
    </w:p>
    <w:p>
      <w:pPr>
        <w:pStyle w:val="BodyText"/>
        <w:spacing w:before="3"/>
        <w:rPr>
          <w:rFonts w:hAnsi="宋体" w:eastAsia="宋体" w:ascii="宋体"/>
          <w:sz w:val="17"/>
        </w:rPr>
      </w:pPr>
    </w:p>
    <w:p>
      <w:pPr>
        <w:pStyle w:val="ListParagraph"/>
        <w:numPr>
          <w:ilvl w:val="1"/>
          <w:numId w:val="1"/>
        </w:numPr>
        <w:tabs>
          <w:tab w:pos="676" w:val="left" w:leader="none"/>
        </w:tabs>
        <w:spacing w:line="240" w:lineRule="auto" w:before="0" w:after="0"/>
        <w:ind w:left="675" w:right="0" w:hanging="386"/>
        <w:jc w:val="left"/>
        <w:rPr>
          <w:rFonts w:hAnsi="宋体" w:eastAsia="宋体" w:ascii="宋体"/>
          <w:i/>
          <w:sz w:val="16"/>
        </w:rPr>
      </w:pPr>
      <w:r>
        <w:rPr>
          <w:rFonts w:hAnsi="宋体" w:eastAsia="宋体" w:ascii="宋体"/>
          <w:i/>
          <w:color w:val="231F20"/>
          <w:w w:val="105"/>
          <w:sz w:val="16"/>
        </w:rPr>
        <w:t>用于装配长序列的寡核苷酸设计</w:t>
      </w:r>
    </w:p>
    <w:p>
      <w:pPr>
        <w:pStyle w:val="BodyText"/>
        <w:spacing w:before="2"/>
        <w:rPr>
          <w:rFonts w:hAnsi="宋体" w:eastAsia="宋体" w:ascii="宋体"/>
          <w:i/>
          <w:sz w:val="19"/>
        </w:rPr>
      </w:pPr>
    </w:p>
    <w:p>
      <w:pPr>
        <w:pStyle w:val="BodyText"/>
        <w:spacing w:line="261" w:lineRule="auto"/>
        <w:ind w:left="290" w:right="110" w:firstLine="239"/>
        <w:jc w:val="both"/>
      </w:pPr>
      <w:r>
        <w:rPr>
          <w:rFonts w:hAnsi="宋体" w:eastAsia="宋体" w:ascii="宋体"/>
          <w:color w:val="231F20"/>
          <w:spacing w:val="-1"/>
        </w:rPr>
        <w:t>基于寡核苷酸长度和Tm阈值的说明，已经开发了几个程序来自动设计用于长序列合成的寡核苷酸</w:t>
      </w:r>
      <w:hyperlink w:history="true" w:anchor="_bookmark17">
        <w:r>
          <w:rPr>
            <w:rFonts w:hAnsi="宋体" w:eastAsia="宋体" w:ascii="宋体"/>
            <w:color w:val="2E3092"/>
            <w:w w:val="103"/>
          </w:rPr>
          <w:t>[44–46]</w:t>
        </w:r>
      </w:hyperlink>
      <w:r>
        <w:rPr>
          <w:rFonts w:hAnsi="宋体" w:eastAsia="宋体" w:ascii="宋体"/>
          <w:color w:val="231F20"/>
          <w:w w:val="82"/>
        </w:rPr>
        <w:t>。只有程序TmPrimer</w:t>
      </w:r>
      <w:hyperlink w:history="true" w:anchor="_bookmark17">
        <w:r>
          <w:rPr>
            <w:rFonts w:hAnsi="宋体" w:eastAsia="宋体" w:ascii="宋体"/>
            <w:color w:val="2E3092"/>
          </w:rPr>
          <w:t>[44]</w:t>
        </w:r>
      </w:hyperlink>
      <w:r>
        <w:rPr>
          <w:rFonts w:hAnsi="宋体" w:eastAsia="宋体" w:ascii="宋体"/>
          <w:color w:val="231F20"/>
        </w:rPr>
        <w:t>提供寡核苷酸之间潜在相互作用的预测；然而，该程序不考虑非特异性杂交。我们的算法能够为含有重复序列的长序列设计寡核苷酸，并在聚合酶链反应的3’末端延伸过程中最小化它们潜在的非特异性杂交。</w:t>
      </w:r>
    </w:p>
    <w:p>
      <w:pPr>
        <w:pStyle w:val="BodyText"/>
        <w:spacing w:before="7"/>
        <w:rPr>
          <w:rFonts w:hAnsi="宋体" w:eastAsia="宋体" w:ascii="宋体"/>
          <w:sz w:val="17"/>
        </w:rPr>
      </w:pPr>
    </w:p>
    <w:p>
      <w:pPr>
        <w:pStyle w:val="ListParagraph"/>
        <w:numPr>
          <w:ilvl w:val="1"/>
          <w:numId w:val="1"/>
        </w:numPr>
        <w:tabs>
          <w:tab w:pos="676" w:val="left" w:leader="none"/>
        </w:tabs>
        <w:spacing w:line="240" w:lineRule="auto" w:before="1" w:after="0"/>
        <w:ind w:left="675" w:right="0" w:hanging="386"/>
        <w:jc w:val="left"/>
        <w:rPr>
          <w:rFonts w:hAnsi="宋体" w:eastAsia="宋体" w:ascii="宋体"/>
          <w:i/>
          <w:sz w:val="16"/>
        </w:rPr>
      </w:pPr>
      <w:r>
        <w:rPr>
          <w:rFonts w:hAnsi="宋体" w:eastAsia="宋体" w:ascii="宋体"/>
          <w:i/>
          <w:color w:val="231F20"/>
          <w:sz w:val="16"/>
        </w:rPr>
        <w:t>电子聚合酶链反应</w:t>
      </w:r>
    </w:p>
    <w:p>
      <w:pPr>
        <w:pStyle w:val="BodyText"/>
        <w:spacing w:before="2"/>
        <w:rPr>
          <w:rFonts w:hAnsi="宋体" w:eastAsia="宋体" w:ascii="宋体"/>
          <w:i/>
          <w:sz w:val="19"/>
        </w:rPr>
      </w:pPr>
    </w:p>
    <w:p>
      <w:pPr>
        <w:pStyle w:val="BodyText"/>
        <w:spacing w:line="261" w:lineRule="auto"/>
        <w:ind w:left="290" w:right="111" w:firstLine="239"/>
        <w:jc w:val="both"/>
      </w:pPr>
      <w:r>
        <w:rPr>
          <w:rFonts w:hAnsi="宋体" w:eastAsia="宋体" w:ascii="宋体"/>
          <w:color w:val="231F20"/>
          <w:w w:val="95"/>
        </w:rPr>
        <w:t>模拟引物与目标退火位点的杂交是预测PCR产物的唯一方法</w:t>
      </w:r>
      <w:hyperlink w:history="true" w:anchor="_bookmark17">
        <w:r>
          <w:rPr>
            <w:rFonts w:hAnsi="宋体" w:eastAsia="宋体" w:ascii="宋体"/>
            <w:color w:val="2E3092"/>
            <w:w w:val="103"/>
          </w:rPr>
          <w:t>[47–52]</w:t>
        </w:r>
      </w:hyperlink>
      <w:r>
        <w:rPr>
          <w:rFonts w:hAnsi="宋体" w:eastAsia="宋体" w:ascii="宋体"/>
          <w:color w:val="231F20"/>
          <w:w w:val="82"/>
        </w:rPr>
        <w:t>。引物3’端的最后10–12个碱基对结合稳定性很重要；单个错配会降低PCR效率，这种影响随着接近3’端而增加。jPCR允许同时测试单个引物或为多重靶序列设计的一组引物。它进行快速、无间隙的比对，以测试引物与靶序列的互补性。可以设置参数以允许引物3’端有不同程度的错配。该程序还可以处理简并引物或探针，包括具有5’或3’尾序列的引物或探针。使用标准或反向聚合酶链反应以及多重聚合酶链反应可以发现线性和圆形模板的可能聚合酶链反应产物。这种电子工具可用于快速分析引物或探针的靶序列，确定引物的位置、方向、结合效率和计算它们的Tm。</w:t>
      </w:r>
    </w:p>
    <w:p>
      <w:pPr>
        <w:pStyle w:val="BodyText"/>
        <w:spacing w:before="2"/>
        <w:rPr>
          <w:rFonts w:hAnsi="宋体" w:eastAsia="宋体" w:ascii="宋体"/>
          <w:sz w:val="17"/>
        </w:rPr>
      </w:pPr>
    </w:p>
    <w:p>
      <w:pPr>
        <w:pStyle w:val="ListParagraph"/>
        <w:numPr>
          <w:ilvl w:val="1"/>
          <w:numId w:val="1"/>
        </w:numPr>
        <w:tabs>
          <w:tab w:pos="676" w:val="left" w:leader="none"/>
        </w:tabs>
        <w:spacing w:line="240" w:lineRule="auto" w:before="1" w:after="0"/>
        <w:ind w:left="675" w:right="0" w:hanging="386"/>
        <w:jc w:val="left"/>
        <w:rPr>
          <w:rFonts w:hAnsi="宋体" w:eastAsia="宋体" w:ascii="宋体"/>
          <w:i/>
          <w:sz w:val="16"/>
        </w:rPr>
      </w:pPr>
      <w:r>
        <w:rPr>
          <w:rFonts w:hAnsi="宋体" w:eastAsia="宋体" w:ascii="宋体"/>
          <w:i/>
          <w:color w:val="231F20"/>
          <w:w w:val="105"/>
          <w:sz w:val="16"/>
        </w:rPr>
        <w:t>简单序列重复基因座搜索</w:t>
      </w:r>
    </w:p>
    <w:p>
      <w:pPr>
        <w:pStyle w:val="BodyText"/>
        <w:spacing w:before="2"/>
        <w:rPr>
          <w:rFonts w:hAnsi="宋体" w:eastAsia="宋体" w:ascii="宋体"/>
          <w:i/>
          <w:sz w:val="19"/>
        </w:rPr>
      </w:pPr>
    </w:p>
    <w:p>
      <w:pPr>
        <w:pStyle w:val="BodyText"/>
        <w:spacing w:line="261" w:lineRule="auto"/>
        <w:ind w:left="290" w:right="110" w:firstLine="239"/>
        <w:jc w:val="both"/>
      </w:pPr>
      <w:r>
        <w:rPr>
          <w:rFonts w:hAnsi="宋体" w:eastAsia="宋体" w:ascii="宋体"/>
          <w:color w:val="231F20"/>
          <w:w w:val="95"/>
        </w:rPr>
        <w:t>简单序列重复(SSRs或微卫星)是一个或多个碱基的短串联重复。微卫星无处不在地分布在真核生物基因组中，通常长度高度多态，因此是群体遗传研究的一类重要标记。我们的SSR搜索方法是使用语言序列复杂度来分析低复杂度区域。这种方法允许检测具有单个、最多10个碱基重复基序的完美和不完美的SSR。对每个条目序列进行处理，以识别SSR和SSR</w:t>
      </w:r>
    </w:p>
    <w:p>
      <w:pPr>
        <w:spacing w:after="0" w:line="261" w:lineRule="auto"/>
        <w:jc w:val="both"/>
        <w:sectPr>
          <w:type w:val="continuous"/>
          <w:pgSz w:w="11910" w:h="15880"/>
          <w:pgMar w:header="688" w:footer="0" w:top="640" w:bottom="280" w:left="560" w:right="560"/>
          <w:cols w:num="2" w:equalWidth="0">
            <w:col w:w="5316" w:space="44"/>
            <w:col w:w="5430"/>
          </w:cols>
        </w:sectPr>
      </w:pPr>
    </w:p>
    <w:p>
      <w:pPr>
        <w:pStyle w:val="BodyText"/>
        <w:spacing w:before="8"/>
        <w:rPr>
          <w:rFonts w:hAnsi="宋体" w:eastAsia="宋体" w:ascii="宋体"/>
          <w:sz w:val="11"/>
        </w:rPr>
      </w:pPr>
    </w:p>
    <w:p>
      <w:pPr>
        <w:spacing w:before="108"/>
        <w:ind w:left="114" w:right="0" w:firstLine="0"/>
        <w:jc w:val="left"/>
        <w:rPr>
          <w:rFonts w:hAnsi="宋体" w:eastAsia="宋体" w:ascii="宋体"/>
          <w:sz w:val="12"/>
        </w:rPr>
      </w:pPr>
      <w:bookmarkStart w:name="_bookmark12" w:id="34"/>
      <w:bookmarkEnd w:id="34"/>
      <w:r>
        <w:rPr>
          <w:rFonts w:hAnsi="宋体" w:eastAsia="宋体" w:ascii="宋体"/>
        </w:rPr>
      </w:r>
      <w:r>
        <w:rPr>
          <w:rFonts w:hAnsi="宋体" w:eastAsia="宋体" w:ascii="宋体"/>
          <w:color w:val="231F20"/>
          <w:w w:val="105"/>
          <w:sz w:val="12"/>
        </w:rPr>
        <w:t>表3</w:t>
      </w:r>
    </w:p>
    <w:p>
      <w:pPr>
        <w:spacing w:before="27"/>
        <w:ind w:left="114" w:right="0" w:firstLine="0"/>
        <w:jc w:val="left"/>
        <w:rPr>
          <w:rFonts w:hAnsi="宋体" w:eastAsia="宋体" w:ascii="宋体"/>
          <w:sz w:val="12"/>
        </w:rPr>
      </w:pPr>
      <w:r>
        <w:rPr>
          <w:rFonts w:hAnsi="宋体" w:eastAsia="宋体" w:ascii="宋体"/>
          <w:color w:val="231F20"/>
          <w:w w:val="105"/>
          <w:sz w:val="12"/>
        </w:rPr>
        <w:t>引物设计和寡核苷酸分析工具的比较。</w:t>
      </w:r>
    </w:p>
    <w:p>
      <w:pPr>
        <w:pStyle w:val="BodyText"/>
        <w:spacing w:before="7"/>
        <w:rPr>
          <w:rFonts w:hAnsi="宋体" w:eastAsia="宋体" w:ascii="宋体"/>
          <w:sz w:val="7"/>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
        <w:gridCol w:w="3019"/>
        <w:gridCol w:w="268"/>
        <w:gridCol w:w="1430"/>
        <w:gridCol w:w="268"/>
        <w:gridCol w:w="1558"/>
        <w:gridCol w:w="268"/>
        <w:gridCol w:w="623"/>
        <w:gridCol w:w="268"/>
        <w:gridCol w:w="1217"/>
        <w:gridCol w:w="268"/>
        <w:gridCol w:w="947"/>
        <w:gridCol w:w="119"/>
      </w:tblGrid>
      <w:tr>
        <w:trPr>
          <w:trHeight w:val="420" w:hRule="atLeast"/>
        </w:trPr>
        <w:tc>
          <w:tcPr>
            <w:tcW w:w="119" w:type="dxa"/>
            <w:vMerge w:val="restart"/>
            <w:tcBorders>
              <w:top w:val="single" w:sz="4" w:space="0" w:color="231F20"/>
              <w:bottom w:val="single" w:sz="6" w:space="0" w:color="231F20"/>
            </w:tcBorders>
          </w:tcPr>
          <w:p>
            <w:pPr>
              <w:pStyle w:val="TableParagraph"/>
              <w:rPr>
                <w:rFonts w:hAnsi="宋体" w:eastAsia="宋体" w:ascii="宋体"/>
                <w:sz w:val="14"/>
              </w:rPr>
            </w:pPr>
          </w:p>
        </w:tc>
        <w:tc>
          <w:tcPr>
            <w:tcW w:w="3019" w:type="dxa"/>
            <w:tcBorders>
              <w:top w:val="single" w:sz="4" w:space="0" w:color="231F20"/>
              <w:bottom w:val="single" w:sz="6" w:space="0" w:color="231F20"/>
            </w:tcBorders>
          </w:tcPr>
          <w:p>
            <w:pPr>
              <w:pStyle w:val="TableParagraph"/>
              <w:spacing w:before="53"/>
              <w:rPr>
                <w:rFonts w:hAnsi="宋体" w:eastAsia="宋体" w:ascii="宋体"/>
                <w:sz w:val="12"/>
              </w:rPr>
            </w:pPr>
            <w:r>
              <w:rPr>
                <w:rFonts w:hAnsi="宋体" w:eastAsia="宋体" w:ascii="宋体"/>
                <w:color w:val="231F20"/>
                <w:sz w:val="12"/>
              </w:rPr>
              <w:t>特征</w:t>
            </w:r>
          </w:p>
        </w:tc>
        <w:tc>
          <w:tcPr>
            <w:tcW w:w="268" w:type="dxa"/>
            <w:tcBorders>
              <w:top w:val="single" w:sz="4" w:space="0" w:color="231F20"/>
            </w:tcBorders>
          </w:tcPr>
          <w:p>
            <w:pPr>
              <w:pStyle w:val="TableParagraph"/>
              <w:rPr>
                <w:rFonts w:hAnsi="宋体" w:eastAsia="宋体" w:ascii="宋体"/>
                <w:sz w:val="14"/>
              </w:rPr>
            </w:pPr>
          </w:p>
        </w:tc>
        <w:tc>
          <w:tcPr>
            <w:tcW w:w="1430" w:type="dxa"/>
            <w:tcBorders>
              <w:top w:val="single" w:sz="4" w:space="0" w:color="231F20"/>
              <w:bottom w:val="single" w:sz="6" w:space="0" w:color="231F20"/>
            </w:tcBorders>
          </w:tcPr>
          <w:p>
            <w:pPr>
              <w:pStyle w:val="TableParagraph"/>
              <w:spacing w:before="53"/>
              <w:ind w:left="1" w:right="-15"/>
              <w:rPr>
                <w:rFonts w:hAnsi="宋体" w:eastAsia="宋体" w:ascii="宋体"/>
                <w:sz w:val="12"/>
              </w:rPr>
            </w:pPr>
            <w:r>
              <w:rPr>
                <w:rFonts w:hAnsi="宋体" w:eastAsia="宋体" w:ascii="宋体"/>
                <w:color w:val="231F20"/>
                <w:sz w:val="12"/>
              </w:rPr>
              <w:t>底漆-BLAST(底漆3)</w:t>
            </w:r>
          </w:p>
        </w:tc>
        <w:tc>
          <w:tcPr>
            <w:tcW w:w="268" w:type="dxa"/>
            <w:tcBorders>
              <w:top w:val="single" w:sz="4" w:space="0" w:color="231F20"/>
            </w:tcBorders>
          </w:tcPr>
          <w:p>
            <w:pPr>
              <w:pStyle w:val="TableParagraph"/>
              <w:rPr>
                <w:rFonts w:hAnsi="宋体" w:eastAsia="宋体" w:ascii="宋体"/>
                <w:sz w:val="14"/>
              </w:rPr>
            </w:pPr>
          </w:p>
        </w:tc>
        <w:tc>
          <w:tcPr>
            <w:tcW w:w="1558" w:type="dxa"/>
            <w:tcBorders>
              <w:top w:val="single" w:sz="4" w:space="0" w:color="231F20"/>
              <w:bottom w:val="single" w:sz="6" w:space="0" w:color="231F20"/>
            </w:tcBorders>
          </w:tcPr>
          <w:p>
            <w:pPr>
              <w:pStyle w:val="TableParagraph"/>
              <w:spacing w:line="285" w:lineRule="auto" w:before="53"/>
              <w:ind w:left="2" w:right="-22"/>
              <w:rPr>
                <w:rFonts w:hAnsi="宋体" w:eastAsia="宋体" w:ascii="宋体"/>
                <w:sz w:val="12"/>
              </w:rPr>
            </w:pPr>
            <w:r>
              <w:rPr>
                <w:rFonts w:hAnsi="宋体" w:eastAsia="宋体" w:ascii="宋体"/>
                <w:color w:val="231F20"/>
                <w:sz w:val="12"/>
              </w:rPr>
              <w:t>IDT科学工具:PrimerQuest，寡核苷酸分析仪3.1</w:t>
            </w:r>
          </w:p>
        </w:tc>
        <w:tc>
          <w:tcPr>
            <w:tcW w:w="268" w:type="dxa"/>
            <w:tcBorders>
              <w:top w:val="single" w:sz="4" w:space="0" w:color="231F20"/>
            </w:tcBorders>
          </w:tcPr>
          <w:p>
            <w:pPr>
              <w:pStyle w:val="TableParagraph"/>
              <w:rPr>
                <w:rFonts w:hAnsi="宋体" w:eastAsia="宋体" w:ascii="宋体"/>
                <w:sz w:val="14"/>
              </w:rPr>
            </w:pPr>
          </w:p>
        </w:tc>
        <w:tc>
          <w:tcPr>
            <w:tcW w:w="623" w:type="dxa"/>
            <w:tcBorders>
              <w:top w:val="single" w:sz="4" w:space="0" w:color="231F20"/>
              <w:bottom w:val="single" w:sz="6" w:space="0" w:color="231F20"/>
            </w:tcBorders>
          </w:tcPr>
          <w:p>
            <w:pPr>
              <w:pStyle w:val="TableParagraph"/>
              <w:spacing w:before="53"/>
              <w:ind w:left="4" w:right="-15"/>
              <w:rPr>
                <w:rFonts w:hAnsi="宋体" w:eastAsia="宋体" w:ascii="宋体"/>
                <w:sz w:val="12"/>
              </w:rPr>
            </w:pPr>
            <w:r>
              <w:rPr>
                <w:rFonts w:hAnsi="宋体" w:eastAsia="宋体" w:ascii="宋体"/>
                <w:color w:val="231F20"/>
                <w:sz w:val="12"/>
              </w:rPr>
              <w:t>PerlPrimer</w:t>
            </w:r>
          </w:p>
        </w:tc>
        <w:tc>
          <w:tcPr>
            <w:tcW w:w="268" w:type="dxa"/>
            <w:tcBorders>
              <w:top w:val="single" w:sz="4" w:space="0" w:color="231F20"/>
            </w:tcBorders>
          </w:tcPr>
          <w:p>
            <w:pPr>
              <w:pStyle w:val="TableParagraph"/>
              <w:rPr>
                <w:rFonts w:hAnsi="宋体" w:eastAsia="宋体" w:ascii="宋体"/>
                <w:sz w:val="14"/>
              </w:rPr>
            </w:pPr>
          </w:p>
        </w:tc>
        <w:tc>
          <w:tcPr>
            <w:tcW w:w="1217" w:type="dxa"/>
            <w:tcBorders>
              <w:top w:val="single" w:sz="4" w:space="0" w:color="231F20"/>
              <w:bottom w:val="single" w:sz="6" w:space="0" w:color="231F20"/>
            </w:tcBorders>
          </w:tcPr>
          <w:p>
            <w:pPr>
              <w:pStyle w:val="TableParagraph"/>
              <w:spacing w:before="53"/>
              <w:ind w:left="6" w:right="-15"/>
              <w:rPr>
                <w:rFonts w:hAnsi="宋体" w:eastAsia="宋体" w:ascii="宋体"/>
                <w:sz w:val="12"/>
              </w:rPr>
            </w:pPr>
            <w:r>
              <w:rPr>
                <w:rFonts w:hAnsi="宋体" w:eastAsia="宋体" w:ascii="宋体"/>
                <w:color w:val="231F20"/>
                <w:w w:val="105"/>
                <w:sz w:val="12"/>
              </w:rPr>
              <w:t>双搜索网络服务器</w:t>
            </w:r>
          </w:p>
        </w:tc>
        <w:tc>
          <w:tcPr>
            <w:tcW w:w="268" w:type="dxa"/>
            <w:tcBorders>
              <w:top w:val="single" w:sz="4" w:space="0" w:color="231F20"/>
            </w:tcBorders>
          </w:tcPr>
          <w:p>
            <w:pPr>
              <w:pStyle w:val="TableParagraph"/>
              <w:rPr>
                <w:rFonts w:hAnsi="宋体" w:eastAsia="宋体" w:ascii="宋体"/>
                <w:sz w:val="14"/>
              </w:rPr>
            </w:pPr>
          </w:p>
        </w:tc>
        <w:tc>
          <w:tcPr>
            <w:tcW w:w="947" w:type="dxa"/>
            <w:tcBorders>
              <w:top w:val="single" w:sz="4" w:space="0" w:color="231F20"/>
              <w:bottom w:val="single" w:sz="6" w:space="0" w:color="231F20"/>
            </w:tcBorders>
          </w:tcPr>
          <w:p>
            <w:pPr>
              <w:pStyle w:val="TableParagraph"/>
              <w:spacing w:before="53"/>
              <w:ind w:left="7"/>
              <w:rPr>
                <w:rFonts w:hAnsi="宋体" w:eastAsia="宋体" w:ascii="宋体"/>
                <w:sz w:val="12"/>
              </w:rPr>
            </w:pPr>
            <w:r>
              <w:rPr>
                <w:rFonts w:hAnsi="宋体" w:eastAsia="宋体" w:ascii="宋体"/>
                <w:color w:val="231F20"/>
                <w:w w:val="110"/>
                <w:sz w:val="12"/>
              </w:rPr>
              <w:t>网络工具</w:t>
            </w:r>
          </w:p>
        </w:tc>
        <w:tc>
          <w:tcPr>
            <w:tcW w:w="119" w:type="dxa"/>
            <w:vMerge w:val="restart"/>
            <w:tcBorders>
              <w:top w:val="single" w:sz="4" w:space="0" w:color="231F20"/>
              <w:bottom w:val="single" w:sz="6" w:space="0" w:color="231F20"/>
            </w:tcBorders>
          </w:tcPr>
          <w:p>
            <w:pPr>
              <w:pStyle w:val="TableParagraph"/>
              <w:rPr>
                <w:rFonts w:hAnsi="宋体" w:eastAsia="宋体" w:ascii="宋体"/>
                <w:sz w:val="14"/>
              </w:rPr>
            </w:pPr>
          </w:p>
        </w:tc>
      </w:tr>
      <w:tr>
        <w:trPr>
          <w:trHeight w:val="245" w:hRule="atLeast"/>
        </w:trPr>
        <w:tc>
          <w:tcPr>
            <w:tcW w:w="119" w:type="dxa"/>
            <w:vMerge/>
            <w:tcBorders>
              <w:top w:val="nil"/>
              <w:bottom w:val="single" w:sz="6" w:space="0" w:color="231F20"/>
            </w:tcBorders>
          </w:tcPr>
          <w:p>
            <w:pPr>
              <w:rPr>
                <w:rFonts w:hAnsi="宋体" w:eastAsia="宋体" w:ascii="宋体"/>
                <w:sz w:val="2"/>
                <w:szCs w:val="2"/>
              </w:rPr>
            </w:pPr>
          </w:p>
        </w:tc>
        <w:tc>
          <w:tcPr>
            <w:tcW w:w="3019" w:type="dxa"/>
            <w:tcBorders>
              <w:top w:val="single" w:sz="6" w:space="0" w:color="231F20"/>
              <w:bottom w:val="single" w:sz="6" w:space="0" w:color="231F20"/>
            </w:tcBorders>
          </w:tcPr>
          <w:p>
            <w:pPr>
              <w:pStyle w:val="TableParagraph"/>
              <w:spacing w:before="50"/>
              <w:rPr>
                <w:rFonts w:hAnsi="宋体" w:eastAsia="宋体" w:ascii="宋体"/>
                <w:sz w:val="12"/>
              </w:rPr>
            </w:pPr>
            <w:r>
              <w:rPr>
                <w:rFonts w:hAnsi="宋体" w:eastAsia="宋体" w:ascii="宋体"/>
                <w:color w:val="231F20"/>
                <w:w w:val="105"/>
                <w:sz w:val="12"/>
              </w:rPr>
              <w:t>输入(FASTA或原始序列)</w:t>
            </w:r>
          </w:p>
        </w:tc>
        <w:tc>
          <w:tcPr>
            <w:tcW w:w="268" w:type="dxa"/>
            <w:tcBorders>
              <w:bottom w:val="single" w:sz="6" w:space="0" w:color="231F20"/>
            </w:tcBorders>
          </w:tcPr>
          <w:p>
            <w:pPr>
              <w:pStyle w:val="TableParagraph"/>
              <w:rPr>
                <w:rFonts w:hAnsi="宋体" w:eastAsia="宋体" w:ascii="宋体"/>
                <w:sz w:val="14"/>
              </w:rPr>
            </w:pPr>
          </w:p>
        </w:tc>
        <w:tc>
          <w:tcPr>
            <w:tcW w:w="1430" w:type="dxa"/>
            <w:tcBorders>
              <w:top w:val="single" w:sz="6" w:space="0" w:color="231F20"/>
              <w:bottom w:val="single" w:sz="6" w:space="0" w:color="231F20"/>
            </w:tcBorders>
          </w:tcPr>
          <w:p>
            <w:pPr>
              <w:pStyle w:val="TableParagraph"/>
              <w:spacing w:before="50"/>
              <w:ind w:left="1"/>
              <w:rPr>
                <w:rFonts w:hAnsi="宋体" w:eastAsia="宋体" w:ascii="宋体"/>
                <w:sz w:val="12"/>
              </w:rPr>
            </w:pPr>
            <w:r>
              <w:rPr>
                <w:rFonts w:hAnsi="宋体" w:eastAsia="宋体" w:ascii="宋体"/>
                <w:color w:val="231F20"/>
                <w:w w:val="168"/>
                <w:sz w:val="12"/>
              </w:rPr>
              <w:t>+</w:t>
            </w:r>
          </w:p>
        </w:tc>
        <w:tc>
          <w:tcPr>
            <w:tcW w:w="268" w:type="dxa"/>
            <w:tcBorders>
              <w:bottom w:val="single" w:sz="6" w:space="0" w:color="231F20"/>
            </w:tcBorders>
          </w:tcPr>
          <w:p>
            <w:pPr>
              <w:pStyle w:val="TableParagraph"/>
              <w:rPr>
                <w:rFonts w:hAnsi="宋体" w:eastAsia="宋体" w:ascii="宋体"/>
                <w:sz w:val="14"/>
              </w:rPr>
            </w:pPr>
          </w:p>
        </w:tc>
        <w:tc>
          <w:tcPr>
            <w:tcW w:w="1558" w:type="dxa"/>
            <w:tcBorders>
              <w:top w:val="single" w:sz="6" w:space="0" w:color="231F20"/>
              <w:bottom w:val="single" w:sz="6" w:space="0" w:color="231F20"/>
            </w:tcBorders>
          </w:tcPr>
          <w:p>
            <w:pPr>
              <w:pStyle w:val="TableParagraph"/>
              <w:spacing w:before="50"/>
              <w:ind w:left="3"/>
              <w:rPr>
                <w:rFonts w:hAnsi="宋体" w:eastAsia="宋体" w:ascii="宋体"/>
                <w:sz w:val="12"/>
              </w:rPr>
            </w:pPr>
            <w:r>
              <w:rPr>
                <w:rFonts w:hAnsi="宋体" w:eastAsia="宋体" w:ascii="宋体"/>
                <w:color w:val="231F20"/>
                <w:w w:val="168"/>
                <w:sz w:val="12"/>
              </w:rPr>
              <w:t>+</w:t>
            </w:r>
          </w:p>
        </w:tc>
        <w:tc>
          <w:tcPr>
            <w:tcW w:w="268" w:type="dxa"/>
            <w:tcBorders>
              <w:bottom w:val="single" w:sz="6" w:space="0" w:color="231F20"/>
            </w:tcBorders>
          </w:tcPr>
          <w:p>
            <w:pPr>
              <w:pStyle w:val="TableParagraph"/>
              <w:rPr>
                <w:rFonts w:hAnsi="宋体" w:eastAsia="宋体" w:ascii="宋体"/>
                <w:sz w:val="14"/>
              </w:rPr>
            </w:pPr>
          </w:p>
        </w:tc>
        <w:tc>
          <w:tcPr>
            <w:tcW w:w="623" w:type="dxa"/>
            <w:tcBorders>
              <w:top w:val="single" w:sz="6" w:space="0" w:color="231F20"/>
              <w:bottom w:val="single" w:sz="6" w:space="0" w:color="231F20"/>
            </w:tcBorders>
          </w:tcPr>
          <w:p>
            <w:pPr>
              <w:pStyle w:val="TableParagraph"/>
              <w:spacing w:before="50"/>
              <w:ind w:left="4"/>
              <w:rPr>
                <w:rFonts w:hAnsi="宋体" w:eastAsia="宋体" w:ascii="宋体"/>
                <w:sz w:val="12"/>
              </w:rPr>
            </w:pPr>
            <w:r>
              <w:rPr>
                <w:rFonts w:hAnsi="宋体" w:eastAsia="宋体" w:ascii="宋体"/>
                <w:color w:val="231F20"/>
                <w:w w:val="168"/>
                <w:sz w:val="12"/>
              </w:rPr>
              <w:t>+</w:t>
            </w:r>
          </w:p>
        </w:tc>
        <w:tc>
          <w:tcPr>
            <w:tcW w:w="268" w:type="dxa"/>
            <w:tcBorders>
              <w:bottom w:val="single" w:sz="6" w:space="0" w:color="231F20"/>
            </w:tcBorders>
          </w:tcPr>
          <w:p>
            <w:pPr>
              <w:pStyle w:val="TableParagraph"/>
              <w:rPr>
                <w:rFonts w:hAnsi="宋体" w:eastAsia="宋体" w:ascii="宋体"/>
                <w:sz w:val="14"/>
              </w:rPr>
            </w:pPr>
          </w:p>
        </w:tc>
        <w:tc>
          <w:tcPr>
            <w:tcW w:w="1217" w:type="dxa"/>
            <w:tcBorders>
              <w:top w:val="single" w:sz="6" w:space="0" w:color="231F20"/>
              <w:bottom w:val="single" w:sz="6" w:space="0" w:color="231F20"/>
            </w:tcBorders>
          </w:tcPr>
          <w:p>
            <w:pPr>
              <w:pStyle w:val="TableParagraph"/>
              <w:spacing w:before="50"/>
              <w:ind w:left="6"/>
              <w:rPr>
                <w:rFonts w:hAnsi="宋体" w:eastAsia="宋体" w:ascii="宋体"/>
                <w:sz w:val="12"/>
              </w:rPr>
            </w:pPr>
            <w:r>
              <w:rPr>
                <w:rFonts w:hAnsi="宋体" w:eastAsia="宋体" w:ascii="宋体"/>
                <w:color w:val="231F20"/>
                <w:w w:val="168"/>
                <w:sz w:val="12"/>
              </w:rPr>
              <w:t>+</w:t>
            </w:r>
          </w:p>
        </w:tc>
        <w:tc>
          <w:tcPr>
            <w:tcW w:w="268" w:type="dxa"/>
            <w:tcBorders>
              <w:bottom w:val="single" w:sz="6" w:space="0" w:color="231F20"/>
            </w:tcBorders>
          </w:tcPr>
          <w:p>
            <w:pPr>
              <w:pStyle w:val="TableParagraph"/>
              <w:rPr>
                <w:rFonts w:hAnsi="宋体" w:eastAsia="宋体" w:ascii="宋体"/>
                <w:sz w:val="14"/>
              </w:rPr>
            </w:pPr>
          </w:p>
        </w:tc>
        <w:tc>
          <w:tcPr>
            <w:tcW w:w="947" w:type="dxa"/>
            <w:tcBorders>
              <w:top w:val="single" w:sz="6" w:space="0" w:color="231F20"/>
              <w:bottom w:val="single" w:sz="6" w:space="0" w:color="231F20"/>
            </w:tcBorders>
          </w:tcPr>
          <w:p>
            <w:pPr>
              <w:pStyle w:val="TableParagraph"/>
              <w:spacing w:before="50"/>
              <w:ind w:left="7"/>
              <w:rPr>
                <w:rFonts w:hAnsi="宋体" w:eastAsia="宋体" w:ascii="宋体"/>
                <w:sz w:val="12"/>
              </w:rPr>
            </w:pPr>
            <w:r>
              <w:rPr>
                <w:rFonts w:hAnsi="宋体" w:eastAsia="宋体" w:ascii="宋体"/>
                <w:color w:val="231F20"/>
                <w:w w:val="110"/>
                <w:sz w:val="12"/>
              </w:rPr>
              <w:t>+，制表符-表格</w:t>
            </w:r>
          </w:p>
        </w:tc>
        <w:tc>
          <w:tcPr>
            <w:tcW w:w="119" w:type="dxa"/>
            <w:vMerge/>
            <w:tcBorders>
              <w:top w:val="nil"/>
              <w:bottom w:val="single" w:sz="6" w:space="0" w:color="231F20"/>
            </w:tcBorders>
          </w:tcPr>
          <w:p>
            <w:pPr>
              <w:rPr>
                <w:rFonts w:hAnsi="宋体" w:eastAsia="宋体" w:ascii="宋体"/>
                <w:sz w:val="2"/>
                <w:szCs w:val="2"/>
              </w:rPr>
            </w:pPr>
          </w:p>
        </w:tc>
      </w:tr>
      <w:tr>
        <w:trPr>
          <w:trHeight w:val="207" w:hRule="atLeast"/>
        </w:trPr>
        <w:tc>
          <w:tcPr>
            <w:tcW w:w="119" w:type="dxa"/>
            <w:tcBorders>
              <w:top w:val="single" w:sz="6" w:space="0" w:color="231F20"/>
            </w:tcBorders>
          </w:tcPr>
          <w:p>
            <w:pPr>
              <w:pStyle w:val="TableParagraph"/>
              <w:rPr>
                <w:rFonts w:hAnsi="宋体" w:eastAsia="宋体" w:ascii="宋体"/>
                <w:sz w:val="14"/>
              </w:rPr>
            </w:pPr>
          </w:p>
        </w:tc>
        <w:tc>
          <w:tcPr>
            <w:tcW w:w="3019" w:type="dxa"/>
            <w:tcBorders>
              <w:top w:val="single" w:sz="6" w:space="0" w:color="231F20"/>
            </w:tcBorders>
          </w:tcPr>
          <w:p>
            <w:pPr>
              <w:pStyle w:val="TableParagraph"/>
              <w:rPr>
                <w:rFonts w:hAnsi="宋体" w:eastAsia="宋体" w:ascii="宋体"/>
                <w:sz w:val="14"/>
              </w:rPr>
            </w:pPr>
          </w:p>
        </w:tc>
        <w:tc>
          <w:tcPr>
            <w:tcW w:w="268" w:type="dxa"/>
            <w:tcBorders>
              <w:top w:val="single" w:sz="6" w:space="0" w:color="231F20"/>
            </w:tcBorders>
          </w:tcPr>
          <w:p>
            <w:pPr>
              <w:pStyle w:val="TableParagraph"/>
              <w:rPr>
                <w:rFonts w:hAnsi="宋体" w:eastAsia="宋体" w:ascii="宋体"/>
                <w:sz w:val="14"/>
              </w:rPr>
            </w:pPr>
          </w:p>
        </w:tc>
        <w:tc>
          <w:tcPr>
            <w:tcW w:w="1430" w:type="dxa"/>
            <w:tcBorders>
              <w:top w:val="single" w:sz="6" w:space="0" w:color="231F20"/>
            </w:tcBorders>
          </w:tcPr>
          <w:p>
            <w:pPr>
              <w:pStyle w:val="TableParagraph"/>
              <w:spacing w:line="137" w:lineRule="exact" w:before="50"/>
              <w:ind w:left="1"/>
              <w:rPr>
                <w:rFonts w:hAnsi="宋体" w:eastAsia="宋体" w:ascii="宋体"/>
                <w:sz w:val="12"/>
              </w:rPr>
            </w:pPr>
            <w:r>
              <w:rPr>
                <w:rFonts w:hAnsi="宋体" w:eastAsia="宋体" w:ascii="宋体"/>
                <w:color w:val="231F20"/>
                <w:w w:val="105"/>
                <w:sz w:val="12"/>
              </w:rPr>
              <w:t>特征</w:t>
            </w:r>
          </w:p>
        </w:tc>
        <w:tc>
          <w:tcPr>
            <w:tcW w:w="268" w:type="dxa"/>
            <w:tcBorders>
              <w:top w:val="single" w:sz="6" w:space="0" w:color="231F20"/>
            </w:tcBorders>
          </w:tcPr>
          <w:p>
            <w:pPr>
              <w:pStyle w:val="TableParagraph"/>
              <w:rPr>
                <w:rFonts w:hAnsi="宋体" w:eastAsia="宋体" w:ascii="宋体"/>
                <w:sz w:val="14"/>
              </w:rPr>
            </w:pPr>
          </w:p>
        </w:tc>
        <w:tc>
          <w:tcPr>
            <w:tcW w:w="1558" w:type="dxa"/>
            <w:tcBorders>
              <w:top w:val="single" w:sz="6" w:space="0" w:color="231F20"/>
            </w:tcBorders>
          </w:tcPr>
          <w:p>
            <w:pPr>
              <w:pStyle w:val="TableParagraph"/>
              <w:rPr>
                <w:rFonts w:hAnsi="宋体" w:eastAsia="宋体" w:ascii="宋体"/>
                <w:sz w:val="14"/>
              </w:rPr>
            </w:pPr>
          </w:p>
        </w:tc>
        <w:tc>
          <w:tcPr>
            <w:tcW w:w="268" w:type="dxa"/>
            <w:tcBorders>
              <w:top w:val="single" w:sz="6" w:space="0" w:color="231F20"/>
            </w:tcBorders>
          </w:tcPr>
          <w:p>
            <w:pPr>
              <w:pStyle w:val="TableParagraph"/>
              <w:rPr>
                <w:rFonts w:hAnsi="宋体" w:eastAsia="宋体" w:ascii="宋体"/>
                <w:sz w:val="14"/>
              </w:rPr>
            </w:pPr>
          </w:p>
        </w:tc>
        <w:tc>
          <w:tcPr>
            <w:tcW w:w="623" w:type="dxa"/>
            <w:tcBorders>
              <w:top w:val="single" w:sz="6" w:space="0" w:color="231F20"/>
            </w:tcBorders>
          </w:tcPr>
          <w:p>
            <w:pPr>
              <w:pStyle w:val="TableParagraph"/>
              <w:rPr>
                <w:rFonts w:hAnsi="宋体" w:eastAsia="宋体" w:ascii="宋体"/>
                <w:sz w:val="14"/>
              </w:rPr>
            </w:pPr>
          </w:p>
        </w:tc>
        <w:tc>
          <w:tcPr>
            <w:tcW w:w="268" w:type="dxa"/>
            <w:tcBorders>
              <w:top w:val="single" w:sz="6" w:space="0" w:color="231F20"/>
            </w:tcBorders>
          </w:tcPr>
          <w:p>
            <w:pPr>
              <w:pStyle w:val="TableParagraph"/>
              <w:rPr>
                <w:rFonts w:hAnsi="宋体" w:eastAsia="宋体" w:ascii="宋体"/>
                <w:sz w:val="14"/>
              </w:rPr>
            </w:pPr>
          </w:p>
        </w:tc>
        <w:tc>
          <w:tcPr>
            <w:tcW w:w="1217" w:type="dxa"/>
            <w:tcBorders>
              <w:top w:val="single" w:sz="6" w:space="0" w:color="231F20"/>
            </w:tcBorders>
          </w:tcPr>
          <w:p>
            <w:pPr>
              <w:pStyle w:val="TableParagraph"/>
              <w:rPr>
                <w:rFonts w:hAnsi="宋体" w:eastAsia="宋体" w:ascii="宋体"/>
                <w:sz w:val="14"/>
              </w:rPr>
            </w:pPr>
          </w:p>
        </w:tc>
        <w:tc>
          <w:tcPr>
            <w:tcW w:w="268" w:type="dxa"/>
            <w:tcBorders>
              <w:top w:val="single" w:sz="6" w:space="0" w:color="231F20"/>
            </w:tcBorders>
          </w:tcPr>
          <w:p>
            <w:pPr>
              <w:pStyle w:val="TableParagraph"/>
              <w:rPr>
                <w:rFonts w:hAnsi="宋体" w:eastAsia="宋体" w:ascii="宋体"/>
                <w:sz w:val="14"/>
              </w:rPr>
            </w:pPr>
          </w:p>
        </w:tc>
        <w:tc>
          <w:tcPr>
            <w:tcW w:w="947" w:type="dxa"/>
            <w:tcBorders>
              <w:top w:val="single" w:sz="6" w:space="0" w:color="231F20"/>
            </w:tcBorders>
          </w:tcPr>
          <w:p>
            <w:pPr>
              <w:pStyle w:val="TableParagraph"/>
              <w:rPr>
                <w:rFonts w:hAnsi="宋体" w:eastAsia="宋体" w:ascii="宋体"/>
                <w:sz w:val="14"/>
              </w:rPr>
            </w:pPr>
          </w:p>
        </w:tc>
        <w:tc>
          <w:tcPr>
            <w:tcW w:w="119" w:type="dxa"/>
            <w:tcBorders>
              <w:top w:val="single" w:sz="6" w:space="0" w:color="231F20"/>
            </w:tcBorders>
          </w:tcPr>
          <w:p>
            <w:pPr>
              <w:pStyle w:val="TableParagraph"/>
              <w:rPr>
                <w:rFonts w:hAnsi="宋体" w:eastAsia="宋体" w:ascii="宋体"/>
                <w:sz w:val="14"/>
              </w:rPr>
            </w:pPr>
          </w:p>
        </w:tc>
      </w:tr>
      <w:tr>
        <w:trPr>
          <w:trHeight w:val="171" w:hRule="atLeast"/>
        </w:trPr>
        <w:tc>
          <w:tcPr>
            <w:tcW w:w="119" w:type="dxa"/>
          </w:tcPr>
          <w:p>
            <w:pPr>
              <w:pStyle w:val="TableParagraph"/>
              <w:rPr>
                <w:rFonts w:hAnsi="宋体" w:eastAsia="宋体" w:ascii="宋体"/>
                <w:sz w:val="10"/>
              </w:rPr>
            </w:pPr>
          </w:p>
        </w:tc>
        <w:tc>
          <w:tcPr>
            <w:tcW w:w="3019" w:type="dxa"/>
          </w:tcPr>
          <w:p>
            <w:pPr>
              <w:pStyle w:val="TableParagraph"/>
              <w:spacing w:line="137" w:lineRule="exact" w:before="13"/>
              <w:rPr>
                <w:rFonts w:hAnsi="宋体" w:eastAsia="宋体" w:ascii="宋体"/>
                <w:sz w:val="12"/>
              </w:rPr>
            </w:pPr>
            <w:r>
              <w:rPr>
                <w:rFonts w:hAnsi="宋体" w:eastAsia="宋体" w:ascii="宋体"/>
                <w:color w:val="231F20"/>
                <w:w w:val="105"/>
                <w:sz w:val="12"/>
              </w:rPr>
              <w:t>引物或探针设计，长度(nT)</w:t>
            </w:r>
          </w:p>
        </w:tc>
        <w:tc>
          <w:tcPr>
            <w:tcW w:w="268" w:type="dxa"/>
          </w:tcPr>
          <w:p>
            <w:pPr>
              <w:pStyle w:val="TableParagraph"/>
              <w:rPr>
                <w:rFonts w:hAnsi="宋体" w:eastAsia="宋体" w:ascii="宋体"/>
                <w:sz w:val="10"/>
              </w:rPr>
            </w:pPr>
          </w:p>
        </w:tc>
        <w:tc>
          <w:tcPr>
            <w:tcW w:w="1430" w:type="dxa"/>
          </w:tcPr>
          <w:p>
            <w:pPr>
              <w:pStyle w:val="TableParagraph"/>
              <w:spacing w:line="137" w:lineRule="exact" w:before="13"/>
              <w:ind w:left="1"/>
              <w:rPr>
                <w:rFonts w:hAnsi="宋体" w:eastAsia="宋体" w:ascii="宋体"/>
                <w:sz w:val="12"/>
              </w:rPr>
            </w:pPr>
            <w:r>
              <w:rPr>
                <w:rFonts w:hAnsi="宋体" w:eastAsia="宋体" w:ascii="宋体"/>
                <w:color w:val="231F20"/>
                <w:w w:val="130"/>
                <w:sz w:val="12"/>
              </w:rPr>
              <w:t>15–30</w:t>
            </w:r>
          </w:p>
        </w:tc>
        <w:tc>
          <w:tcPr>
            <w:tcW w:w="268" w:type="dxa"/>
          </w:tcPr>
          <w:p>
            <w:pPr>
              <w:pStyle w:val="TableParagraph"/>
              <w:rPr>
                <w:rFonts w:hAnsi="宋体" w:eastAsia="宋体" w:ascii="宋体"/>
                <w:sz w:val="10"/>
              </w:rPr>
            </w:pPr>
          </w:p>
        </w:tc>
        <w:tc>
          <w:tcPr>
            <w:tcW w:w="1558" w:type="dxa"/>
          </w:tcPr>
          <w:p>
            <w:pPr>
              <w:pStyle w:val="TableParagraph"/>
              <w:spacing w:line="137" w:lineRule="exact" w:before="13"/>
              <w:ind w:left="2"/>
              <w:rPr>
                <w:rFonts w:hAnsi="宋体" w:eastAsia="宋体" w:ascii="宋体"/>
                <w:sz w:val="12"/>
              </w:rPr>
            </w:pPr>
            <w:r>
              <w:rPr>
                <w:rFonts w:hAnsi="宋体" w:eastAsia="宋体" w:ascii="宋体"/>
                <w:color w:val="231F20"/>
                <w:w w:val="130"/>
                <w:sz w:val="12"/>
              </w:rPr>
              <w:t>16–35</w:t>
            </w:r>
          </w:p>
        </w:tc>
        <w:tc>
          <w:tcPr>
            <w:tcW w:w="268" w:type="dxa"/>
          </w:tcPr>
          <w:p>
            <w:pPr>
              <w:pStyle w:val="TableParagraph"/>
              <w:rPr>
                <w:rFonts w:hAnsi="宋体" w:eastAsia="宋体" w:ascii="宋体"/>
                <w:sz w:val="10"/>
              </w:rPr>
            </w:pPr>
          </w:p>
        </w:tc>
        <w:tc>
          <w:tcPr>
            <w:tcW w:w="623" w:type="dxa"/>
          </w:tcPr>
          <w:p>
            <w:pPr>
              <w:pStyle w:val="TableParagraph"/>
              <w:spacing w:line="137" w:lineRule="exact" w:before="13"/>
              <w:ind w:left="4"/>
              <w:rPr>
                <w:rFonts w:hAnsi="宋体" w:eastAsia="宋体" w:ascii="宋体"/>
                <w:sz w:val="12"/>
              </w:rPr>
            </w:pPr>
            <w:r>
              <w:rPr>
                <w:rFonts w:hAnsi="宋体" w:eastAsia="宋体" w:ascii="宋体"/>
                <w:color w:val="231F20"/>
                <w:w w:val="130"/>
                <w:sz w:val="12"/>
              </w:rPr>
              <w:t>12–30</w:t>
            </w:r>
          </w:p>
        </w:tc>
        <w:tc>
          <w:tcPr>
            <w:tcW w:w="268" w:type="dxa"/>
          </w:tcPr>
          <w:p>
            <w:pPr>
              <w:pStyle w:val="TableParagraph"/>
              <w:rPr>
                <w:rFonts w:hAnsi="宋体" w:eastAsia="宋体" w:ascii="宋体"/>
                <w:sz w:val="10"/>
              </w:rPr>
            </w:pPr>
          </w:p>
        </w:tc>
        <w:tc>
          <w:tcPr>
            <w:tcW w:w="1217" w:type="dxa"/>
          </w:tcPr>
          <w:p>
            <w:pPr>
              <w:pStyle w:val="TableParagraph"/>
              <w:spacing w:line="137" w:lineRule="exact" w:before="13"/>
              <w:ind w:left="6"/>
              <w:rPr>
                <w:rFonts w:hAnsi="宋体" w:eastAsia="宋体" w:ascii="宋体"/>
                <w:sz w:val="12"/>
              </w:rPr>
            </w:pPr>
            <w:r>
              <w:rPr>
                <w:rFonts w:hAnsi="宋体" w:eastAsia="宋体" w:ascii="宋体"/>
                <w:color w:val="231F20"/>
                <w:w w:val="130"/>
                <w:sz w:val="12"/>
              </w:rPr>
              <w:t>10–35</w:t>
            </w:r>
          </w:p>
        </w:tc>
        <w:tc>
          <w:tcPr>
            <w:tcW w:w="268" w:type="dxa"/>
          </w:tcPr>
          <w:p>
            <w:pPr>
              <w:pStyle w:val="TableParagraph"/>
              <w:rPr>
                <w:rFonts w:hAnsi="宋体" w:eastAsia="宋体" w:ascii="宋体"/>
                <w:sz w:val="10"/>
              </w:rPr>
            </w:pPr>
          </w:p>
        </w:tc>
        <w:tc>
          <w:tcPr>
            <w:tcW w:w="947" w:type="dxa"/>
          </w:tcPr>
          <w:p>
            <w:pPr>
              <w:pStyle w:val="TableParagraph"/>
              <w:spacing w:line="137" w:lineRule="exact" w:before="13"/>
              <w:ind w:left="7"/>
              <w:rPr>
                <w:rFonts w:hAnsi="宋体" w:eastAsia="宋体" w:ascii="宋体"/>
                <w:sz w:val="12"/>
              </w:rPr>
            </w:pPr>
            <w:r>
              <w:rPr>
                <w:rFonts w:hAnsi="宋体" w:eastAsia="宋体" w:ascii="宋体"/>
                <w:color w:val="231F20"/>
                <w:w w:val="125"/>
                <w:sz w:val="12"/>
              </w:rPr>
              <w:t>12–500</w:t>
            </w:r>
          </w:p>
        </w:tc>
        <w:tc>
          <w:tcPr>
            <w:tcW w:w="119" w:type="dxa"/>
          </w:tcPr>
          <w:p>
            <w:pPr>
              <w:pStyle w:val="TableParagraph"/>
              <w:rPr>
                <w:rFonts w:hAnsi="宋体" w:eastAsia="宋体" w:ascii="宋体"/>
                <w:sz w:val="10"/>
              </w:rPr>
            </w:pPr>
          </w:p>
        </w:tc>
      </w:tr>
      <w:tr>
        <w:trPr>
          <w:trHeight w:val="171" w:hRule="atLeast"/>
        </w:trPr>
        <w:tc>
          <w:tcPr>
            <w:tcW w:w="119" w:type="dxa"/>
          </w:tcPr>
          <w:p>
            <w:pPr>
              <w:pStyle w:val="TableParagraph"/>
              <w:rPr>
                <w:rFonts w:hAnsi="宋体" w:eastAsia="宋体" w:ascii="宋体"/>
                <w:sz w:val="10"/>
              </w:rPr>
            </w:pPr>
          </w:p>
        </w:tc>
        <w:tc>
          <w:tcPr>
            <w:tcW w:w="3019" w:type="dxa"/>
          </w:tcPr>
          <w:p>
            <w:pPr>
              <w:pStyle w:val="TableParagraph"/>
              <w:spacing w:line="137" w:lineRule="exact" w:before="13"/>
              <w:rPr>
                <w:rFonts w:hAnsi="宋体" w:eastAsia="宋体" w:ascii="宋体"/>
                <w:sz w:val="12"/>
              </w:rPr>
            </w:pPr>
            <w:r>
              <w:rPr>
                <w:rFonts w:hAnsi="宋体" w:eastAsia="宋体" w:ascii="宋体"/>
                <w:color w:val="231F20"/>
                <w:w w:val="105"/>
                <w:sz w:val="12"/>
              </w:rPr>
              <w:t>序列长度限制(nT)</w:t>
            </w:r>
          </w:p>
        </w:tc>
        <w:tc>
          <w:tcPr>
            <w:tcW w:w="268" w:type="dxa"/>
          </w:tcPr>
          <w:p>
            <w:pPr>
              <w:pStyle w:val="TableParagraph"/>
              <w:rPr>
                <w:rFonts w:hAnsi="宋体" w:eastAsia="宋体" w:ascii="宋体"/>
                <w:sz w:val="10"/>
              </w:rPr>
            </w:pPr>
          </w:p>
        </w:tc>
        <w:tc>
          <w:tcPr>
            <w:tcW w:w="1430" w:type="dxa"/>
          </w:tcPr>
          <w:p>
            <w:pPr>
              <w:pStyle w:val="TableParagraph"/>
              <w:spacing w:line="137" w:lineRule="exact" w:before="13"/>
              <w:ind w:left="1"/>
              <w:rPr>
                <w:rFonts w:hAnsi="宋体" w:eastAsia="宋体" w:ascii="宋体"/>
                <w:sz w:val="12"/>
              </w:rPr>
            </w:pPr>
            <w:r>
              <w:rPr>
                <w:rFonts w:hAnsi="宋体" w:eastAsia="宋体" w:ascii="宋体"/>
                <w:color w:val="231F20"/>
                <w:w w:val="105"/>
                <w:sz w:val="12"/>
              </w:rPr>
              <w:t>50,000</w:t>
            </w:r>
          </w:p>
        </w:tc>
        <w:tc>
          <w:tcPr>
            <w:tcW w:w="268" w:type="dxa"/>
          </w:tcPr>
          <w:p>
            <w:pPr>
              <w:pStyle w:val="TableParagraph"/>
              <w:rPr>
                <w:rFonts w:hAnsi="宋体" w:eastAsia="宋体" w:ascii="宋体"/>
                <w:sz w:val="10"/>
              </w:rPr>
            </w:pPr>
          </w:p>
        </w:tc>
        <w:tc>
          <w:tcPr>
            <w:tcW w:w="1558" w:type="dxa"/>
          </w:tcPr>
          <w:p>
            <w:pPr>
              <w:pStyle w:val="TableParagraph"/>
              <w:spacing w:line="137" w:lineRule="exact" w:before="13"/>
              <w:ind w:left="3"/>
              <w:rPr>
                <w:rFonts w:hAnsi="宋体" w:eastAsia="宋体" w:ascii="宋体"/>
                <w:sz w:val="12"/>
              </w:rPr>
            </w:pPr>
            <w:r>
              <w:rPr>
                <w:rFonts w:hAnsi="宋体" w:eastAsia="宋体" w:ascii="宋体"/>
                <w:color w:val="231F20"/>
                <w:w w:val="105"/>
                <w:sz w:val="12"/>
              </w:rPr>
              <w:t>无限制</w:t>
            </w:r>
          </w:p>
        </w:tc>
        <w:tc>
          <w:tcPr>
            <w:tcW w:w="268" w:type="dxa"/>
          </w:tcPr>
          <w:p>
            <w:pPr>
              <w:pStyle w:val="TableParagraph"/>
              <w:rPr>
                <w:rFonts w:hAnsi="宋体" w:eastAsia="宋体" w:ascii="宋体"/>
                <w:sz w:val="10"/>
              </w:rPr>
            </w:pPr>
          </w:p>
        </w:tc>
        <w:tc>
          <w:tcPr>
            <w:tcW w:w="623" w:type="dxa"/>
          </w:tcPr>
          <w:p>
            <w:pPr>
              <w:pStyle w:val="TableParagraph"/>
              <w:spacing w:line="137" w:lineRule="exact" w:before="13"/>
              <w:ind w:left="4"/>
              <w:rPr>
                <w:rFonts w:hAnsi="宋体" w:eastAsia="宋体" w:ascii="宋体"/>
                <w:sz w:val="12"/>
              </w:rPr>
            </w:pPr>
            <w:r>
              <w:rPr>
                <w:rFonts w:hAnsi="宋体" w:eastAsia="宋体" w:ascii="宋体"/>
                <w:color w:val="231F20"/>
                <w:w w:val="105"/>
                <w:sz w:val="12"/>
              </w:rPr>
              <w:t>无限制</w:t>
            </w:r>
          </w:p>
        </w:tc>
        <w:tc>
          <w:tcPr>
            <w:tcW w:w="268" w:type="dxa"/>
          </w:tcPr>
          <w:p>
            <w:pPr>
              <w:pStyle w:val="TableParagraph"/>
              <w:rPr>
                <w:rFonts w:hAnsi="宋体" w:eastAsia="宋体" w:ascii="宋体"/>
                <w:sz w:val="10"/>
              </w:rPr>
            </w:pPr>
          </w:p>
        </w:tc>
        <w:tc>
          <w:tcPr>
            <w:tcW w:w="1217" w:type="dxa"/>
          </w:tcPr>
          <w:p>
            <w:pPr>
              <w:pStyle w:val="TableParagraph"/>
              <w:spacing w:line="137" w:lineRule="exact" w:before="13"/>
              <w:ind w:left="6"/>
              <w:rPr>
                <w:rFonts w:hAnsi="宋体" w:eastAsia="宋体" w:ascii="宋体"/>
                <w:sz w:val="12"/>
              </w:rPr>
            </w:pPr>
            <w:r>
              <w:rPr>
                <w:rFonts w:hAnsi="宋体" w:eastAsia="宋体" w:ascii="宋体"/>
                <w:color w:val="231F20"/>
                <w:w w:val="110"/>
                <w:sz w:val="12"/>
              </w:rPr>
              <w:t>5000</w:t>
            </w:r>
          </w:p>
        </w:tc>
        <w:tc>
          <w:tcPr>
            <w:tcW w:w="268" w:type="dxa"/>
          </w:tcPr>
          <w:p>
            <w:pPr>
              <w:pStyle w:val="TableParagraph"/>
              <w:rPr>
                <w:rFonts w:hAnsi="宋体" w:eastAsia="宋体" w:ascii="宋体"/>
                <w:sz w:val="10"/>
              </w:rPr>
            </w:pPr>
          </w:p>
        </w:tc>
        <w:tc>
          <w:tcPr>
            <w:tcW w:w="947" w:type="dxa"/>
          </w:tcPr>
          <w:p>
            <w:pPr>
              <w:pStyle w:val="TableParagraph"/>
              <w:spacing w:line="137" w:lineRule="exact" w:before="13"/>
              <w:ind w:left="7"/>
              <w:rPr>
                <w:rFonts w:hAnsi="宋体" w:eastAsia="宋体" w:ascii="宋体"/>
                <w:sz w:val="12"/>
              </w:rPr>
            </w:pPr>
            <w:r>
              <w:rPr>
                <w:rFonts w:hAnsi="宋体" w:eastAsia="宋体" w:ascii="宋体"/>
                <w:color w:val="231F20"/>
                <w:w w:val="105"/>
                <w:sz w:val="12"/>
              </w:rPr>
              <w:t>无限制</w:t>
            </w:r>
          </w:p>
        </w:tc>
        <w:tc>
          <w:tcPr>
            <w:tcW w:w="119" w:type="dxa"/>
          </w:tcPr>
          <w:p>
            <w:pPr>
              <w:pStyle w:val="TableParagraph"/>
              <w:rPr>
                <w:rFonts w:hAnsi="宋体" w:eastAsia="宋体" w:ascii="宋体"/>
                <w:sz w:val="10"/>
              </w:rPr>
            </w:pPr>
          </w:p>
        </w:tc>
      </w:tr>
      <w:tr>
        <w:trPr>
          <w:trHeight w:val="166" w:hRule="atLeast"/>
        </w:trPr>
        <w:tc>
          <w:tcPr>
            <w:tcW w:w="119" w:type="dxa"/>
          </w:tcPr>
          <w:p>
            <w:pPr>
              <w:pStyle w:val="TableParagraph"/>
              <w:rPr>
                <w:rFonts w:hAnsi="宋体" w:eastAsia="宋体" w:ascii="宋体"/>
                <w:sz w:val="10"/>
              </w:rPr>
            </w:pPr>
          </w:p>
        </w:tc>
        <w:tc>
          <w:tcPr>
            <w:tcW w:w="3019" w:type="dxa"/>
          </w:tcPr>
          <w:p>
            <w:pPr>
              <w:pStyle w:val="TableParagraph"/>
              <w:spacing w:line="133" w:lineRule="exact" w:before="13"/>
              <w:rPr>
                <w:rFonts w:hAnsi="宋体" w:eastAsia="宋体" w:ascii="宋体"/>
                <w:sz w:val="12"/>
              </w:rPr>
            </w:pPr>
            <w:r>
              <w:rPr>
                <w:rFonts w:hAnsi="宋体" w:eastAsia="宋体" w:ascii="宋体"/>
                <w:color w:val="231F20"/>
                <w:w w:val="105"/>
                <w:sz w:val="12"/>
              </w:rPr>
              <w:t>相对计算速度</w:t>
            </w:r>
          </w:p>
        </w:tc>
        <w:tc>
          <w:tcPr>
            <w:tcW w:w="268" w:type="dxa"/>
          </w:tcPr>
          <w:p>
            <w:pPr>
              <w:pStyle w:val="TableParagraph"/>
              <w:rPr>
                <w:rFonts w:hAnsi="宋体" w:eastAsia="宋体" w:ascii="宋体"/>
                <w:sz w:val="10"/>
              </w:rPr>
            </w:pPr>
          </w:p>
        </w:tc>
        <w:tc>
          <w:tcPr>
            <w:tcW w:w="1430" w:type="dxa"/>
          </w:tcPr>
          <w:p>
            <w:pPr>
              <w:pStyle w:val="TableParagraph"/>
              <w:spacing w:line="133" w:lineRule="exact" w:before="13"/>
              <w:ind w:left="1"/>
              <w:rPr>
                <w:rFonts w:hAnsi="宋体" w:eastAsia="宋体" w:ascii="宋体"/>
                <w:sz w:val="12"/>
              </w:rPr>
            </w:pPr>
            <w:r>
              <w:rPr>
                <w:rFonts w:hAnsi="宋体" w:eastAsia="宋体" w:ascii="宋体"/>
                <w:color w:val="231F20"/>
                <w:sz w:val="12"/>
              </w:rPr>
              <w:t>快的</w:t>
            </w:r>
          </w:p>
        </w:tc>
        <w:tc>
          <w:tcPr>
            <w:tcW w:w="268" w:type="dxa"/>
          </w:tcPr>
          <w:p>
            <w:pPr>
              <w:pStyle w:val="TableParagraph"/>
              <w:rPr>
                <w:rFonts w:hAnsi="宋体" w:eastAsia="宋体" w:ascii="宋体"/>
                <w:sz w:val="10"/>
              </w:rPr>
            </w:pPr>
          </w:p>
        </w:tc>
        <w:tc>
          <w:tcPr>
            <w:tcW w:w="1558" w:type="dxa"/>
          </w:tcPr>
          <w:p>
            <w:pPr>
              <w:pStyle w:val="TableParagraph"/>
              <w:spacing w:line="133" w:lineRule="exact" w:before="13"/>
              <w:ind w:left="3"/>
              <w:rPr>
                <w:rFonts w:hAnsi="宋体" w:eastAsia="宋体" w:ascii="宋体"/>
                <w:sz w:val="12"/>
              </w:rPr>
            </w:pPr>
            <w:r>
              <w:rPr>
                <w:rFonts w:hAnsi="宋体" w:eastAsia="宋体" w:ascii="宋体"/>
                <w:color w:val="231F20"/>
                <w:w w:val="105"/>
                <w:sz w:val="12"/>
              </w:rPr>
              <w:t>慢的</w:t>
            </w:r>
          </w:p>
        </w:tc>
        <w:tc>
          <w:tcPr>
            <w:tcW w:w="268" w:type="dxa"/>
          </w:tcPr>
          <w:p>
            <w:pPr>
              <w:pStyle w:val="TableParagraph"/>
              <w:rPr>
                <w:rFonts w:hAnsi="宋体" w:eastAsia="宋体" w:ascii="宋体"/>
                <w:sz w:val="10"/>
              </w:rPr>
            </w:pPr>
          </w:p>
        </w:tc>
        <w:tc>
          <w:tcPr>
            <w:tcW w:w="623" w:type="dxa"/>
          </w:tcPr>
          <w:p>
            <w:pPr>
              <w:pStyle w:val="TableParagraph"/>
              <w:spacing w:line="133" w:lineRule="exact" w:before="13"/>
              <w:ind w:left="4"/>
              <w:rPr>
                <w:rFonts w:hAnsi="宋体" w:eastAsia="宋体" w:ascii="宋体"/>
                <w:sz w:val="12"/>
              </w:rPr>
            </w:pPr>
            <w:r>
              <w:rPr>
                <w:rFonts w:hAnsi="宋体" w:eastAsia="宋体" w:ascii="宋体"/>
                <w:color w:val="231F20"/>
                <w:w w:val="105"/>
                <w:sz w:val="12"/>
              </w:rPr>
              <w:t>慢的</w:t>
            </w:r>
          </w:p>
        </w:tc>
        <w:tc>
          <w:tcPr>
            <w:tcW w:w="268" w:type="dxa"/>
          </w:tcPr>
          <w:p>
            <w:pPr>
              <w:pStyle w:val="TableParagraph"/>
              <w:rPr>
                <w:rFonts w:hAnsi="宋体" w:eastAsia="宋体" w:ascii="宋体"/>
                <w:sz w:val="10"/>
              </w:rPr>
            </w:pPr>
          </w:p>
        </w:tc>
        <w:tc>
          <w:tcPr>
            <w:tcW w:w="1217" w:type="dxa"/>
          </w:tcPr>
          <w:p>
            <w:pPr>
              <w:pStyle w:val="TableParagraph"/>
              <w:spacing w:line="133" w:lineRule="exact" w:before="13"/>
              <w:ind w:left="6"/>
              <w:rPr>
                <w:rFonts w:hAnsi="宋体" w:eastAsia="宋体" w:ascii="宋体"/>
                <w:sz w:val="12"/>
              </w:rPr>
            </w:pPr>
            <w:r>
              <w:rPr>
                <w:rFonts w:hAnsi="宋体" w:eastAsia="宋体" w:ascii="宋体"/>
                <w:color w:val="231F20"/>
                <w:w w:val="105"/>
                <w:sz w:val="12"/>
              </w:rPr>
              <w:t>非常慢</w:t>
            </w:r>
          </w:p>
        </w:tc>
        <w:tc>
          <w:tcPr>
            <w:tcW w:w="268" w:type="dxa"/>
          </w:tcPr>
          <w:p>
            <w:pPr>
              <w:pStyle w:val="TableParagraph"/>
              <w:rPr>
                <w:rFonts w:hAnsi="宋体" w:eastAsia="宋体" w:ascii="宋体"/>
                <w:sz w:val="10"/>
              </w:rPr>
            </w:pPr>
          </w:p>
        </w:tc>
        <w:tc>
          <w:tcPr>
            <w:tcW w:w="947" w:type="dxa"/>
          </w:tcPr>
          <w:p>
            <w:pPr>
              <w:pStyle w:val="TableParagraph"/>
              <w:spacing w:line="133" w:lineRule="exact" w:before="13"/>
              <w:ind w:left="7"/>
              <w:rPr>
                <w:rFonts w:hAnsi="宋体" w:eastAsia="宋体" w:ascii="宋体"/>
                <w:sz w:val="12"/>
              </w:rPr>
            </w:pPr>
            <w:r>
              <w:rPr>
                <w:rFonts w:hAnsi="宋体" w:eastAsia="宋体" w:ascii="宋体"/>
                <w:color w:val="231F20"/>
                <w:w w:val="105"/>
                <w:sz w:val="12"/>
              </w:rPr>
              <w:t>非常快</w:t>
            </w:r>
          </w:p>
        </w:tc>
        <w:tc>
          <w:tcPr>
            <w:tcW w:w="119" w:type="dxa"/>
          </w:tcPr>
          <w:p>
            <w:pPr>
              <w:pStyle w:val="TableParagraph"/>
              <w:rPr>
                <w:rFonts w:hAnsi="宋体" w:eastAsia="宋体" w:ascii="宋体"/>
                <w:sz w:val="10"/>
              </w:rPr>
            </w:pPr>
          </w:p>
        </w:tc>
      </w:tr>
      <w:tr>
        <w:trPr>
          <w:trHeight w:val="189" w:hRule="atLeast"/>
        </w:trPr>
        <w:tc>
          <w:tcPr>
            <w:tcW w:w="119" w:type="dxa"/>
          </w:tcPr>
          <w:p>
            <w:pPr>
              <w:pStyle w:val="TableParagraph"/>
              <w:rPr>
                <w:rFonts w:hAnsi="宋体" w:eastAsia="宋体" w:ascii="宋体"/>
                <w:sz w:val="12"/>
              </w:rPr>
            </w:pPr>
          </w:p>
        </w:tc>
        <w:tc>
          <w:tcPr>
            <w:tcW w:w="3019" w:type="dxa"/>
          </w:tcPr>
          <w:p>
            <w:pPr>
              <w:pStyle w:val="TableParagraph"/>
              <w:spacing w:before="19"/>
              <w:rPr>
                <w:rFonts w:hAnsi="宋体" w:eastAsia="宋体" w:ascii="宋体"/>
                <w:sz w:val="12"/>
              </w:rPr>
            </w:pPr>
            <w:r>
              <w:rPr>
                <w:rFonts w:hAnsi="宋体" w:eastAsia="宋体" w:ascii="宋体"/>
                <w:color w:val="231F20"/>
                <w:w w:val="105"/>
                <w:sz w:val="12"/>
              </w:rPr>
              <w:t>多个模板(序列或引物)和</w:t>
            </w:r>
          </w:p>
        </w:tc>
        <w:tc>
          <w:tcPr>
            <w:tcW w:w="268" w:type="dxa"/>
          </w:tcPr>
          <w:p>
            <w:pPr>
              <w:pStyle w:val="TableParagraph"/>
              <w:rPr>
                <w:rFonts w:hAnsi="宋体" w:eastAsia="宋体" w:ascii="宋体"/>
                <w:sz w:val="12"/>
              </w:rPr>
            </w:pPr>
          </w:p>
        </w:tc>
        <w:tc>
          <w:tcPr>
            <w:tcW w:w="1430" w:type="dxa"/>
          </w:tcPr>
          <w:p>
            <w:pPr>
              <w:pStyle w:val="TableParagraph"/>
              <w:spacing w:before="26"/>
              <w:ind w:left="1"/>
              <w:rPr>
                <w:rFonts w:hAnsi="宋体" w:eastAsia="宋体" w:ascii="宋体"/>
                <w:sz w:val="12"/>
              </w:rPr>
            </w:pPr>
            <w:r>
              <w:rPr>
                <w:rFonts w:hAnsi="宋体" w:eastAsia="宋体" w:ascii="宋体"/>
                <w:color w:val="231F20"/>
                <w:w w:val="180"/>
                <w:sz w:val="12"/>
              </w:rPr>
              <w:t>−</w:t>
            </w:r>
          </w:p>
        </w:tc>
        <w:tc>
          <w:tcPr>
            <w:tcW w:w="268" w:type="dxa"/>
          </w:tcPr>
          <w:p>
            <w:pPr>
              <w:pStyle w:val="TableParagraph"/>
              <w:rPr>
                <w:rFonts w:hAnsi="宋体" w:eastAsia="宋体" w:ascii="宋体"/>
                <w:sz w:val="12"/>
              </w:rPr>
            </w:pPr>
          </w:p>
        </w:tc>
        <w:tc>
          <w:tcPr>
            <w:tcW w:w="1558" w:type="dxa"/>
          </w:tcPr>
          <w:p>
            <w:pPr>
              <w:pStyle w:val="TableParagraph"/>
              <w:spacing w:before="26"/>
              <w:ind w:left="2"/>
              <w:rPr>
                <w:rFonts w:hAnsi="宋体" w:eastAsia="宋体" w:ascii="宋体"/>
                <w:sz w:val="12"/>
              </w:rPr>
            </w:pPr>
            <w:r>
              <w:rPr>
                <w:rFonts w:hAnsi="宋体" w:eastAsia="宋体" w:ascii="宋体"/>
                <w:color w:val="231F20"/>
                <w:w w:val="180"/>
                <w:sz w:val="12"/>
              </w:rPr>
              <w:t>−</w:t>
            </w:r>
          </w:p>
        </w:tc>
        <w:tc>
          <w:tcPr>
            <w:tcW w:w="268" w:type="dxa"/>
          </w:tcPr>
          <w:p>
            <w:pPr>
              <w:pStyle w:val="TableParagraph"/>
              <w:rPr>
                <w:rFonts w:hAnsi="宋体" w:eastAsia="宋体" w:ascii="宋体"/>
                <w:sz w:val="12"/>
              </w:rPr>
            </w:pPr>
          </w:p>
        </w:tc>
        <w:tc>
          <w:tcPr>
            <w:tcW w:w="623" w:type="dxa"/>
          </w:tcPr>
          <w:p>
            <w:pPr>
              <w:pStyle w:val="TableParagraph"/>
              <w:spacing w:before="26"/>
              <w:ind w:left="4"/>
              <w:rPr>
                <w:rFonts w:hAnsi="宋体" w:eastAsia="宋体" w:ascii="宋体"/>
                <w:sz w:val="12"/>
              </w:rPr>
            </w:pPr>
            <w:r>
              <w:rPr>
                <w:rFonts w:hAnsi="宋体" w:eastAsia="宋体" w:ascii="宋体"/>
                <w:color w:val="231F20"/>
                <w:w w:val="180"/>
                <w:sz w:val="12"/>
              </w:rPr>
              <w:t>−</w:t>
            </w:r>
          </w:p>
        </w:tc>
        <w:tc>
          <w:tcPr>
            <w:tcW w:w="268" w:type="dxa"/>
          </w:tcPr>
          <w:p>
            <w:pPr>
              <w:pStyle w:val="TableParagraph"/>
              <w:rPr>
                <w:rFonts w:hAnsi="宋体" w:eastAsia="宋体" w:ascii="宋体"/>
                <w:sz w:val="12"/>
              </w:rPr>
            </w:pPr>
          </w:p>
        </w:tc>
        <w:tc>
          <w:tcPr>
            <w:tcW w:w="1217" w:type="dxa"/>
          </w:tcPr>
          <w:p>
            <w:pPr>
              <w:pStyle w:val="TableParagraph"/>
              <w:spacing w:before="26"/>
              <w:ind w:left="6"/>
              <w:rPr>
                <w:rFonts w:hAnsi="宋体" w:eastAsia="宋体" w:ascii="宋体"/>
                <w:sz w:val="12"/>
              </w:rPr>
            </w:pPr>
            <w:r>
              <w:rPr>
                <w:rFonts w:hAnsi="宋体" w:eastAsia="宋体" w:ascii="宋体"/>
                <w:color w:val="231F20"/>
                <w:w w:val="180"/>
                <w:sz w:val="12"/>
              </w:rPr>
              <w:t>−</w:t>
            </w:r>
          </w:p>
        </w:tc>
        <w:tc>
          <w:tcPr>
            <w:tcW w:w="268" w:type="dxa"/>
          </w:tcPr>
          <w:p>
            <w:pPr>
              <w:pStyle w:val="TableParagraph"/>
              <w:rPr>
                <w:rFonts w:hAnsi="宋体" w:eastAsia="宋体" w:ascii="宋体"/>
                <w:sz w:val="12"/>
              </w:rPr>
            </w:pPr>
          </w:p>
        </w:tc>
        <w:tc>
          <w:tcPr>
            <w:tcW w:w="947" w:type="dxa"/>
          </w:tcPr>
          <w:p>
            <w:pPr>
              <w:pStyle w:val="TableParagraph"/>
              <w:spacing w:before="19"/>
              <w:ind w:left="7"/>
              <w:rPr>
                <w:rFonts w:hAnsi="宋体" w:eastAsia="宋体" w:ascii="宋体"/>
                <w:sz w:val="12"/>
              </w:rPr>
            </w:pPr>
            <w:r>
              <w:rPr>
                <w:rFonts w:hAnsi="宋体" w:eastAsia="宋体" w:ascii="宋体"/>
                <w:color w:val="231F20"/>
                <w:w w:val="168"/>
                <w:sz w:val="12"/>
              </w:rPr>
              <w:t>+</w:t>
            </w:r>
          </w:p>
        </w:tc>
        <w:tc>
          <w:tcPr>
            <w:tcW w:w="119" w:type="dxa"/>
          </w:tcPr>
          <w:p>
            <w:pPr>
              <w:pStyle w:val="TableParagraph"/>
              <w:rPr>
                <w:rFonts w:hAnsi="宋体" w:eastAsia="宋体" w:ascii="宋体"/>
                <w:sz w:val="12"/>
              </w:rPr>
            </w:pPr>
          </w:p>
        </w:tc>
      </w:tr>
      <w:tr>
        <w:trPr>
          <w:trHeight w:val="158" w:hRule="atLeast"/>
        </w:trPr>
        <w:tc>
          <w:tcPr>
            <w:tcW w:w="119" w:type="dxa"/>
          </w:tcPr>
          <w:p>
            <w:pPr>
              <w:pStyle w:val="TableParagraph"/>
              <w:rPr>
                <w:rFonts w:hAnsi="宋体" w:eastAsia="宋体" w:ascii="宋体"/>
                <w:sz w:val="10"/>
              </w:rPr>
            </w:pPr>
          </w:p>
        </w:tc>
        <w:tc>
          <w:tcPr>
            <w:tcW w:w="3019" w:type="dxa"/>
          </w:tcPr>
          <w:p>
            <w:pPr>
              <w:pStyle w:val="TableParagraph"/>
              <w:spacing w:line="137" w:lineRule="exact" w:before="1"/>
              <w:ind w:left="120"/>
              <w:rPr>
                <w:rFonts w:hAnsi="宋体" w:eastAsia="宋体" w:ascii="宋体"/>
                <w:sz w:val="12"/>
              </w:rPr>
            </w:pPr>
            <w:r>
              <w:rPr>
                <w:rFonts w:hAnsi="宋体" w:eastAsia="宋体" w:ascii="宋体"/>
                <w:color w:val="231F20"/>
                <w:w w:val="105"/>
                <w:sz w:val="12"/>
              </w:rPr>
              <w:t>每个序列中有多个目标</w:t>
            </w:r>
          </w:p>
        </w:tc>
        <w:tc>
          <w:tcPr>
            <w:tcW w:w="268" w:type="dxa"/>
          </w:tcPr>
          <w:p>
            <w:pPr>
              <w:pStyle w:val="TableParagraph"/>
              <w:rPr>
                <w:rFonts w:hAnsi="宋体" w:eastAsia="宋体" w:ascii="宋体"/>
                <w:sz w:val="10"/>
              </w:rPr>
            </w:pPr>
          </w:p>
        </w:tc>
        <w:tc>
          <w:tcPr>
            <w:tcW w:w="1430"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1558"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623"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1217"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947" w:type="dxa"/>
          </w:tcPr>
          <w:p>
            <w:pPr>
              <w:pStyle w:val="TableParagraph"/>
              <w:rPr>
                <w:rFonts w:hAnsi="宋体" w:eastAsia="宋体" w:ascii="宋体"/>
                <w:sz w:val="10"/>
              </w:rPr>
            </w:pPr>
          </w:p>
        </w:tc>
        <w:tc>
          <w:tcPr>
            <w:tcW w:w="119" w:type="dxa"/>
          </w:tcPr>
          <w:p>
            <w:pPr>
              <w:pStyle w:val="TableParagraph"/>
              <w:rPr>
                <w:rFonts w:hAnsi="宋体" w:eastAsia="宋体" w:ascii="宋体"/>
                <w:sz w:val="10"/>
              </w:rPr>
            </w:pPr>
          </w:p>
        </w:tc>
      </w:tr>
      <w:tr>
        <w:trPr>
          <w:trHeight w:val="165" w:hRule="atLeast"/>
        </w:trPr>
        <w:tc>
          <w:tcPr>
            <w:tcW w:w="119" w:type="dxa"/>
          </w:tcPr>
          <w:p>
            <w:pPr>
              <w:pStyle w:val="TableParagraph"/>
              <w:rPr>
                <w:rFonts w:hAnsi="宋体" w:eastAsia="宋体" w:ascii="宋体"/>
                <w:sz w:val="10"/>
              </w:rPr>
            </w:pPr>
          </w:p>
        </w:tc>
        <w:tc>
          <w:tcPr>
            <w:tcW w:w="3019" w:type="dxa"/>
          </w:tcPr>
          <w:p>
            <w:pPr>
              <w:pStyle w:val="TableParagraph"/>
              <w:spacing w:line="132" w:lineRule="exact" w:before="13"/>
              <w:rPr>
                <w:rFonts w:hAnsi="宋体" w:eastAsia="宋体" w:ascii="宋体"/>
                <w:sz w:val="12"/>
              </w:rPr>
            </w:pPr>
            <w:r>
              <w:rPr>
                <w:rFonts w:hAnsi="宋体" w:eastAsia="宋体" w:ascii="宋体"/>
                <w:color w:val="231F20"/>
                <w:sz w:val="12"/>
              </w:rPr>
              <w:t>每个序列的单独聚合酶链反应选项</w:t>
            </w:r>
          </w:p>
        </w:tc>
        <w:tc>
          <w:tcPr>
            <w:tcW w:w="268" w:type="dxa"/>
          </w:tcPr>
          <w:p>
            <w:pPr>
              <w:pStyle w:val="TableParagraph"/>
              <w:rPr>
                <w:rFonts w:hAnsi="宋体" w:eastAsia="宋体" w:ascii="宋体"/>
                <w:sz w:val="10"/>
              </w:rPr>
            </w:pPr>
          </w:p>
        </w:tc>
        <w:tc>
          <w:tcPr>
            <w:tcW w:w="1430" w:type="dxa"/>
          </w:tcPr>
          <w:p>
            <w:pPr>
              <w:pStyle w:val="TableParagraph"/>
              <w:spacing w:line="132" w:lineRule="exact" w:before="13"/>
              <w:ind w:left="1"/>
              <w:rPr>
                <w:rFonts w:hAnsi="宋体" w:eastAsia="宋体" w:ascii="宋体"/>
                <w:sz w:val="12"/>
              </w:rPr>
            </w:pPr>
            <w:r>
              <w:rPr>
                <w:rFonts w:hAnsi="宋体" w:eastAsia="宋体" w:ascii="宋体"/>
                <w:color w:val="231F20"/>
                <w:w w:val="168"/>
                <w:sz w:val="12"/>
              </w:rPr>
              <w:t>+</w:t>
            </w:r>
          </w:p>
        </w:tc>
        <w:tc>
          <w:tcPr>
            <w:tcW w:w="268" w:type="dxa"/>
          </w:tcPr>
          <w:p>
            <w:pPr>
              <w:pStyle w:val="TableParagraph"/>
              <w:rPr>
                <w:rFonts w:hAnsi="宋体" w:eastAsia="宋体" w:ascii="宋体"/>
                <w:sz w:val="10"/>
              </w:rPr>
            </w:pPr>
          </w:p>
        </w:tc>
        <w:tc>
          <w:tcPr>
            <w:tcW w:w="1558" w:type="dxa"/>
          </w:tcPr>
          <w:p>
            <w:pPr>
              <w:pStyle w:val="TableParagraph"/>
              <w:spacing w:line="132" w:lineRule="exact" w:before="13"/>
              <w:ind w:left="3"/>
              <w:rPr>
                <w:rFonts w:hAnsi="宋体" w:eastAsia="宋体" w:ascii="宋体"/>
                <w:sz w:val="12"/>
              </w:rPr>
            </w:pPr>
            <w:r>
              <w:rPr>
                <w:rFonts w:hAnsi="宋体" w:eastAsia="宋体" w:ascii="宋体"/>
                <w:color w:val="231F20"/>
                <w:w w:val="168"/>
                <w:sz w:val="12"/>
              </w:rPr>
              <w:t>+</w:t>
            </w:r>
          </w:p>
        </w:tc>
        <w:tc>
          <w:tcPr>
            <w:tcW w:w="268" w:type="dxa"/>
          </w:tcPr>
          <w:p>
            <w:pPr>
              <w:pStyle w:val="TableParagraph"/>
              <w:rPr>
                <w:rFonts w:hAnsi="宋体" w:eastAsia="宋体" w:ascii="宋体"/>
                <w:sz w:val="10"/>
              </w:rPr>
            </w:pPr>
          </w:p>
        </w:tc>
        <w:tc>
          <w:tcPr>
            <w:tcW w:w="623" w:type="dxa"/>
          </w:tcPr>
          <w:p>
            <w:pPr>
              <w:pStyle w:val="TableParagraph"/>
              <w:spacing w:line="132" w:lineRule="exact" w:before="13"/>
              <w:ind w:left="4"/>
              <w:rPr>
                <w:rFonts w:hAnsi="宋体" w:eastAsia="宋体" w:ascii="宋体"/>
                <w:sz w:val="12"/>
              </w:rPr>
            </w:pPr>
            <w:r>
              <w:rPr>
                <w:rFonts w:hAnsi="宋体" w:eastAsia="宋体" w:ascii="宋体"/>
                <w:color w:val="231F20"/>
                <w:w w:val="168"/>
                <w:sz w:val="12"/>
              </w:rPr>
              <w:t>+</w:t>
            </w:r>
          </w:p>
        </w:tc>
        <w:tc>
          <w:tcPr>
            <w:tcW w:w="268" w:type="dxa"/>
          </w:tcPr>
          <w:p>
            <w:pPr>
              <w:pStyle w:val="TableParagraph"/>
              <w:rPr>
                <w:rFonts w:hAnsi="宋体" w:eastAsia="宋体" w:ascii="宋体"/>
                <w:sz w:val="10"/>
              </w:rPr>
            </w:pPr>
          </w:p>
        </w:tc>
        <w:tc>
          <w:tcPr>
            <w:tcW w:w="1217" w:type="dxa"/>
          </w:tcPr>
          <w:p>
            <w:pPr>
              <w:pStyle w:val="TableParagraph"/>
              <w:spacing w:line="132" w:lineRule="exact" w:before="13"/>
              <w:ind w:left="6"/>
              <w:rPr>
                <w:rFonts w:hAnsi="宋体" w:eastAsia="宋体" w:ascii="宋体"/>
                <w:sz w:val="12"/>
              </w:rPr>
            </w:pPr>
            <w:r>
              <w:rPr>
                <w:rFonts w:hAnsi="宋体" w:eastAsia="宋体" w:ascii="宋体"/>
                <w:color w:val="231F20"/>
                <w:w w:val="168"/>
                <w:sz w:val="12"/>
              </w:rPr>
              <w:t>+</w:t>
            </w:r>
          </w:p>
        </w:tc>
        <w:tc>
          <w:tcPr>
            <w:tcW w:w="268" w:type="dxa"/>
          </w:tcPr>
          <w:p>
            <w:pPr>
              <w:pStyle w:val="TableParagraph"/>
              <w:rPr>
                <w:rFonts w:hAnsi="宋体" w:eastAsia="宋体" w:ascii="宋体"/>
                <w:sz w:val="10"/>
              </w:rPr>
            </w:pPr>
          </w:p>
        </w:tc>
        <w:tc>
          <w:tcPr>
            <w:tcW w:w="947" w:type="dxa"/>
          </w:tcPr>
          <w:p>
            <w:pPr>
              <w:pStyle w:val="TableParagraph"/>
              <w:spacing w:line="132" w:lineRule="exact" w:before="13"/>
              <w:ind w:left="7"/>
              <w:rPr>
                <w:rFonts w:hAnsi="宋体" w:eastAsia="宋体" w:ascii="宋体"/>
                <w:sz w:val="12"/>
              </w:rPr>
            </w:pPr>
            <w:r>
              <w:rPr>
                <w:rFonts w:hAnsi="宋体" w:eastAsia="宋体" w:ascii="宋体"/>
                <w:color w:val="231F20"/>
                <w:w w:val="168"/>
                <w:sz w:val="12"/>
              </w:rPr>
              <w:t>+</w:t>
            </w:r>
          </w:p>
        </w:tc>
        <w:tc>
          <w:tcPr>
            <w:tcW w:w="119" w:type="dxa"/>
          </w:tcPr>
          <w:p>
            <w:pPr>
              <w:pStyle w:val="TableParagraph"/>
              <w:rPr>
                <w:rFonts w:hAnsi="宋体" w:eastAsia="宋体" w:ascii="宋体"/>
                <w:sz w:val="10"/>
              </w:rPr>
            </w:pPr>
          </w:p>
        </w:tc>
      </w:tr>
      <w:tr>
        <w:trPr>
          <w:trHeight w:val="189" w:hRule="atLeast"/>
        </w:trPr>
        <w:tc>
          <w:tcPr>
            <w:tcW w:w="119" w:type="dxa"/>
          </w:tcPr>
          <w:p>
            <w:pPr>
              <w:pStyle w:val="TableParagraph"/>
              <w:rPr>
                <w:rFonts w:hAnsi="宋体" w:eastAsia="宋体" w:ascii="宋体"/>
                <w:sz w:val="12"/>
              </w:rPr>
            </w:pPr>
          </w:p>
        </w:tc>
        <w:tc>
          <w:tcPr>
            <w:tcW w:w="3019" w:type="dxa"/>
          </w:tcPr>
          <w:p>
            <w:pPr>
              <w:pStyle w:val="TableParagraph"/>
              <w:spacing w:before="19"/>
              <w:rPr>
                <w:rFonts w:hAnsi="宋体" w:eastAsia="宋体" w:ascii="宋体"/>
                <w:sz w:val="12"/>
              </w:rPr>
            </w:pPr>
            <w:r>
              <w:rPr>
                <w:rFonts w:hAnsi="宋体" w:eastAsia="宋体" w:ascii="宋体"/>
                <w:color w:val="231F20"/>
                <w:w w:val="105"/>
                <w:sz w:val="12"/>
              </w:rPr>
              <w:t>所有操作中的简并核苷酸</w:t>
            </w:r>
          </w:p>
        </w:tc>
        <w:tc>
          <w:tcPr>
            <w:tcW w:w="268" w:type="dxa"/>
          </w:tcPr>
          <w:p>
            <w:pPr>
              <w:pStyle w:val="TableParagraph"/>
              <w:rPr>
                <w:rFonts w:hAnsi="宋体" w:eastAsia="宋体" w:ascii="宋体"/>
                <w:sz w:val="12"/>
              </w:rPr>
            </w:pPr>
          </w:p>
        </w:tc>
        <w:tc>
          <w:tcPr>
            <w:tcW w:w="1430" w:type="dxa"/>
          </w:tcPr>
          <w:p>
            <w:pPr>
              <w:pStyle w:val="TableParagraph"/>
              <w:spacing w:before="25"/>
              <w:ind w:left="1"/>
              <w:rPr>
                <w:rFonts w:hAnsi="宋体" w:eastAsia="宋体" w:ascii="宋体"/>
                <w:sz w:val="12"/>
              </w:rPr>
            </w:pPr>
            <w:r>
              <w:rPr>
                <w:rFonts w:hAnsi="宋体" w:eastAsia="宋体" w:ascii="宋体"/>
                <w:color w:val="231F20"/>
                <w:w w:val="180"/>
                <w:sz w:val="12"/>
              </w:rPr>
              <w:t>−</w:t>
            </w:r>
          </w:p>
        </w:tc>
        <w:tc>
          <w:tcPr>
            <w:tcW w:w="268" w:type="dxa"/>
          </w:tcPr>
          <w:p>
            <w:pPr>
              <w:pStyle w:val="TableParagraph"/>
              <w:rPr>
                <w:rFonts w:hAnsi="宋体" w:eastAsia="宋体" w:ascii="宋体"/>
                <w:sz w:val="12"/>
              </w:rPr>
            </w:pPr>
          </w:p>
        </w:tc>
        <w:tc>
          <w:tcPr>
            <w:tcW w:w="1558" w:type="dxa"/>
          </w:tcPr>
          <w:p>
            <w:pPr>
              <w:pStyle w:val="TableParagraph"/>
              <w:spacing w:before="19"/>
              <w:ind w:left="2"/>
              <w:rPr>
                <w:rFonts w:hAnsi="宋体" w:eastAsia="宋体" w:ascii="宋体"/>
                <w:sz w:val="12"/>
              </w:rPr>
            </w:pPr>
            <w:r>
              <w:rPr>
                <w:rFonts w:hAnsi="宋体" w:eastAsia="宋体" w:ascii="宋体"/>
                <w:color w:val="231F20"/>
                <w:w w:val="168"/>
                <w:sz w:val="12"/>
              </w:rPr>
              <w:t>+</w:t>
            </w:r>
          </w:p>
        </w:tc>
        <w:tc>
          <w:tcPr>
            <w:tcW w:w="268" w:type="dxa"/>
          </w:tcPr>
          <w:p>
            <w:pPr>
              <w:pStyle w:val="TableParagraph"/>
              <w:rPr>
                <w:rFonts w:hAnsi="宋体" w:eastAsia="宋体" w:ascii="宋体"/>
                <w:sz w:val="12"/>
              </w:rPr>
            </w:pPr>
          </w:p>
        </w:tc>
        <w:tc>
          <w:tcPr>
            <w:tcW w:w="623" w:type="dxa"/>
          </w:tcPr>
          <w:p>
            <w:pPr>
              <w:pStyle w:val="TableParagraph"/>
              <w:spacing w:before="25"/>
              <w:ind w:left="4"/>
              <w:rPr>
                <w:rFonts w:hAnsi="宋体" w:eastAsia="宋体" w:ascii="宋体"/>
                <w:sz w:val="12"/>
              </w:rPr>
            </w:pPr>
            <w:r>
              <w:rPr>
                <w:rFonts w:hAnsi="宋体" w:eastAsia="宋体" w:ascii="宋体"/>
                <w:color w:val="231F20"/>
                <w:w w:val="180"/>
                <w:sz w:val="12"/>
              </w:rPr>
              <w:t>−</w:t>
            </w:r>
          </w:p>
        </w:tc>
        <w:tc>
          <w:tcPr>
            <w:tcW w:w="268" w:type="dxa"/>
          </w:tcPr>
          <w:p>
            <w:pPr>
              <w:pStyle w:val="TableParagraph"/>
              <w:rPr>
                <w:rFonts w:hAnsi="宋体" w:eastAsia="宋体" w:ascii="宋体"/>
                <w:sz w:val="12"/>
              </w:rPr>
            </w:pPr>
          </w:p>
        </w:tc>
        <w:tc>
          <w:tcPr>
            <w:tcW w:w="1217" w:type="dxa"/>
          </w:tcPr>
          <w:p>
            <w:pPr>
              <w:pStyle w:val="TableParagraph"/>
              <w:spacing w:before="19"/>
              <w:ind w:left="6"/>
              <w:rPr>
                <w:rFonts w:hAnsi="宋体" w:eastAsia="宋体" w:ascii="宋体"/>
                <w:sz w:val="12"/>
              </w:rPr>
            </w:pPr>
            <w:r>
              <w:rPr>
                <w:rFonts w:hAnsi="宋体" w:eastAsia="宋体" w:ascii="宋体"/>
                <w:color w:val="231F20"/>
                <w:w w:val="168"/>
                <w:sz w:val="12"/>
              </w:rPr>
              <w:t>+</w:t>
            </w:r>
          </w:p>
        </w:tc>
        <w:tc>
          <w:tcPr>
            <w:tcW w:w="268" w:type="dxa"/>
          </w:tcPr>
          <w:p>
            <w:pPr>
              <w:pStyle w:val="TableParagraph"/>
              <w:rPr>
                <w:rFonts w:hAnsi="宋体" w:eastAsia="宋体" w:ascii="宋体"/>
                <w:sz w:val="12"/>
              </w:rPr>
            </w:pPr>
          </w:p>
        </w:tc>
        <w:tc>
          <w:tcPr>
            <w:tcW w:w="947" w:type="dxa"/>
          </w:tcPr>
          <w:p>
            <w:pPr>
              <w:pStyle w:val="TableParagraph"/>
              <w:spacing w:before="19"/>
              <w:ind w:left="7"/>
              <w:rPr>
                <w:rFonts w:hAnsi="宋体" w:eastAsia="宋体" w:ascii="宋体"/>
                <w:sz w:val="12"/>
              </w:rPr>
            </w:pPr>
            <w:r>
              <w:rPr>
                <w:rFonts w:hAnsi="宋体" w:eastAsia="宋体" w:ascii="宋体"/>
                <w:color w:val="231F20"/>
                <w:w w:val="168"/>
                <w:sz w:val="12"/>
              </w:rPr>
              <w:t>+</w:t>
            </w:r>
          </w:p>
        </w:tc>
        <w:tc>
          <w:tcPr>
            <w:tcW w:w="119" w:type="dxa"/>
          </w:tcPr>
          <w:p>
            <w:pPr>
              <w:pStyle w:val="TableParagraph"/>
              <w:rPr>
                <w:rFonts w:hAnsi="宋体" w:eastAsia="宋体" w:ascii="宋体"/>
                <w:sz w:val="12"/>
              </w:rPr>
            </w:pPr>
          </w:p>
        </w:tc>
      </w:tr>
      <w:tr>
        <w:trPr>
          <w:trHeight w:val="151" w:hRule="atLeast"/>
        </w:trPr>
        <w:tc>
          <w:tcPr>
            <w:tcW w:w="119" w:type="dxa"/>
          </w:tcPr>
          <w:p>
            <w:pPr>
              <w:pStyle w:val="TableParagraph"/>
              <w:rPr>
                <w:rFonts w:hAnsi="宋体" w:eastAsia="宋体" w:ascii="宋体"/>
                <w:sz w:val="8"/>
              </w:rPr>
            </w:pPr>
          </w:p>
        </w:tc>
        <w:tc>
          <w:tcPr>
            <w:tcW w:w="3019" w:type="dxa"/>
          </w:tcPr>
          <w:p>
            <w:pPr>
              <w:pStyle w:val="TableParagraph"/>
              <w:spacing w:line="130" w:lineRule="exact" w:before="1"/>
              <w:ind w:left="120"/>
              <w:rPr>
                <w:rFonts w:hAnsi="宋体" w:eastAsia="宋体" w:ascii="宋体"/>
                <w:sz w:val="12"/>
              </w:rPr>
            </w:pPr>
            <w:r>
              <w:rPr>
                <w:rFonts w:hAnsi="宋体" w:eastAsia="宋体" w:ascii="宋体"/>
                <w:color w:val="231F20"/>
                <w:w w:val="105"/>
                <w:sz w:val="12"/>
              </w:rPr>
              <w:t>(Tm计算、搜索和探测，</w:t>
            </w:r>
          </w:p>
        </w:tc>
        <w:tc>
          <w:tcPr>
            <w:tcW w:w="268" w:type="dxa"/>
          </w:tcPr>
          <w:p>
            <w:pPr>
              <w:pStyle w:val="TableParagraph"/>
              <w:rPr>
                <w:rFonts w:hAnsi="宋体" w:eastAsia="宋体" w:ascii="宋体"/>
                <w:sz w:val="8"/>
              </w:rPr>
            </w:pPr>
          </w:p>
        </w:tc>
        <w:tc>
          <w:tcPr>
            <w:tcW w:w="1430"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1558"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623"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1217"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947" w:type="dxa"/>
          </w:tcPr>
          <w:p>
            <w:pPr>
              <w:pStyle w:val="TableParagraph"/>
              <w:rPr>
                <w:rFonts w:hAnsi="宋体" w:eastAsia="宋体" w:ascii="宋体"/>
                <w:sz w:val="8"/>
              </w:rPr>
            </w:pPr>
          </w:p>
        </w:tc>
        <w:tc>
          <w:tcPr>
            <w:tcW w:w="119" w:type="dxa"/>
          </w:tcPr>
          <w:p>
            <w:pPr>
              <w:pStyle w:val="TableParagraph"/>
              <w:rPr>
                <w:rFonts w:hAnsi="宋体" w:eastAsia="宋体" w:ascii="宋体"/>
                <w:sz w:val="8"/>
              </w:rPr>
            </w:pPr>
          </w:p>
        </w:tc>
      </w:tr>
      <w:tr>
        <w:trPr>
          <w:trHeight w:val="171" w:hRule="atLeast"/>
        </w:trPr>
        <w:tc>
          <w:tcPr>
            <w:tcW w:w="119" w:type="dxa"/>
          </w:tcPr>
          <w:p>
            <w:pPr>
              <w:pStyle w:val="TableParagraph"/>
              <w:rPr>
                <w:rFonts w:hAnsi="宋体" w:eastAsia="宋体" w:ascii="宋体"/>
                <w:sz w:val="10"/>
              </w:rPr>
            </w:pPr>
          </w:p>
        </w:tc>
        <w:tc>
          <w:tcPr>
            <w:tcW w:w="3019" w:type="dxa"/>
          </w:tcPr>
          <w:p>
            <w:pPr>
              <w:pStyle w:val="TableParagraph"/>
              <w:spacing w:line="130" w:lineRule="exact" w:before="21"/>
              <w:ind w:left="120"/>
              <w:rPr>
                <w:rFonts w:hAnsi="宋体" w:eastAsia="宋体" w:ascii="宋体"/>
                <w:sz w:val="12"/>
              </w:rPr>
            </w:pPr>
            <w:r>
              <w:rPr>
                <w:rFonts w:hAnsi="宋体" w:eastAsia="宋体" w:ascii="宋体"/>
                <w:color w:val="231F20"/>
                <w:w w:val="105"/>
                <w:sz w:val="12"/>
              </w:rPr>
              <w:t>底漆设计等。)</w:t>
            </w:r>
          </w:p>
        </w:tc>
        <w:tc>
          <w:tcPr>
            <w:tcW w:w="268" w:type="dxa"/>
          </w:tcPr>
          <w:p>
            <w:pPr>
              <w:pStyle w:val="TableParagraph"/>
              <w:rPr>
                <w:rFonts w:hAnsi="宋体" w:eastAsia="宋体" w:ascii="宋体"/>
                <w:sz w:val="10"/>
              </w:rPr>
            </w:pPr>
          </w:p>
        </w:tc>
        <w:tc>
          <w:tcPr>
            <w:tcW w:w="1430"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1558"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623"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1217" w:type="dxa"/>
          </w:tcPr>
          <w:p>
            <w:pPr>
              <w:pStyle w:val="TableParagraph"/>
              <w:rPr>
                <w:rFonts w:hAnsi="宋体" w:eastAsia="宋体" w:ascii="宋体"/>
                <w:sz w:val="10"/>
              </w:rPr>
            </w:pPr>
          </w:p>
        </w:tc>
        <w:tc>
          <w:tcPr>
            <w:tcW w:w="268" w:type="dxa"/>
          </w:tcPr>
          <w:p>
            <w:pPr>
              <w:pStyle w:val="TableParagraph"/>
              <w:rPr>
                <w:rFonts w:hAnsi="宋体" w:eastAsia="宋体" w:ascii="宋体"/>
                <w:sz w:val="10"/>
              </w:rPr>
            </w:pPr>
          </w:p>
        </w:tc>
        <w:tc>
          <w:tcPr>
            <w:tcW w:w="947" w:type="dxa"/>
          </w:tcPr>
          <w:p>
            <w:pPr>
              <w:pStyle w:val="TableParagraph"/>
              <w:rPr>
                <w:rFonts w:hAnsi="宋体" w:eastAsia="宋体" w:ascii="宋体"/>
                <w:sz w:val="10"/>
              </w:rPr>
            </w:pPr>
          </w:p>
        </w:tc>
        <w:tc>
          <w:tcPr>
            <w:tcW w:w="119" w:type="dxa"/>
          </w:tcPr>
          <w:p>
            <w:pPr>
              <w:pStyle w:val="TableParagraph"/>
              <w:rPr>
                <w:rFonts w:hAnsi="宋体" w:eastAsia="宋体" w:ascii="宋体"/>
                <w:sz w:val="10"/>
              </w:rPr>
            </w:pPr>
          </w:p>
        </w:tc>
      </w:tr>
      <w:tr>
        <w:trPr>
          <w:trHeight w:val="186" w:hRule="atLeast"/>
        </w:trPr>
        <w:tc>
          <w:tcPr>
            <w:tcW w:w="3138" w:type="dxa"/>
            <w:gridSpan w:val="2"/>
          </w:tcPr>
          <w:p>
            <w:pPr>
              <w:pStyle w:val="TableParagraph"/>
              <w:spacing w:before="17"/>
              <w:ind w:left="119"/>
              <w:rPr>
                <w:rFonts w:hAnsi="宋体" w:eastAsia="宋体" w:ascii="宋体"/>
                <w:sz w:val="12"/>
              </w:rPr>
            </w:pPr>
            <w:r>
              <w:rPr>
                <w:rFonts w:hAnsi="宋体" w:eastAsia="宋体" w:ascii="宋体"/>
                <w:color w:val="231F20"/>
                <w:w w:val="105"/>
                <w:sz w:val="12"/>
              </w:rPr>
              <w:t>LNA和其他核苷酸修饰</w:t>
            </w:r>
          </w:p>
        </w:tc>
        <w:tc>
          <w:tcPr>
            <w:tcW w:w="1698" w:type="dxa"/>
            <w:gridSpan w:val="2"/>
          </w:tcPr>
          <w:p>
            <w:pPr>
              <w:pStyle w:val="TableParagraph"/>
              <w:spacing w:before="23"/>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7"/>
              <w:ind w:left="270"/>
              <w:rPr>
                <w:rFonts w:hAnsi="宋体" w:eastAsia="宋体" w:ascii="宋体"/>
                <w:sz w:val="12"/>
              </w:rPr>
            </w:pPr>
            <w:r>
              <w:rPr>
                <w:rFonts w:hAnsi="宋体" w:eastAsia="宋体" w:ascii="宋体"/>
                <w:color w:val="231F20"/>
                <w:w w:val="168"/>
                <w:sz w:val="12"/>
              </w:rPr>
              <w:t>+</w:t>
            </w:r>
          </w:p>
        </w:tc>
        <w:tc>
          <w:tcPr>
            <w:tcW w:w="891" w:type="dxa"/>
            <w:gridSpan w:val="2"/>
          </w:tcPr>
          <w:p>
            <w:pPr>
              <w:pStyle w:val="TableParagraph"/>
              <w:spacing w:before="23"/>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23"/>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17"/>
              <w:ind w:left="275"/>
              <w:rPr>
                <w:rFonts w:hAnsi="宋体" w:eastAsia="宋体" w:ascii="宋体"/>
                <w:sz w:val="12"/>
              </w:rPr>
            </w:pPr>
            <w:r>
              <w:rPr>
                <w:rFonts w:hAnsi="宋体" w:eastAsia="宋体" w:ascii="宋体"/>
                <w:color w:val="231F20"/>
                <w:w w:val="168"/>
                <w:sz w:val="12"/>
              </w:rPr>
              <w:t>+</w:t>
            </w:r>
          </w:p>
        </w:tc>
      </w:tr>
      <w:tr>
        <w:trPr>
          <w:trHeight w:val="262" w:hRule="atLeast"/>
        </w:trPr>
        <w:tc>
          <w:tcPr>
            <w:tcW w:w="3138" w:type="dxa"/>
            <w:gridSpan w:val="2"/>
          </w:tcPr>
          <w:p>
            <w:pPr>
              <w:pStyle w:val="TableParagraph"/>
              <w:spacing w:before="7"/>
              <w:ind w:left="119"/>
              <w:rPr>
                <w:rFonts w:hAnsi="宋体" w:eastAsia="宋体" w:ascii="宋体"/>
                <w:sz w:val="12"/>
              </w:rPr>
            </w:pPr>
            <w:r>
              <w:rPr>
                <w:rFonts w:hAnsi="宋体" w:eastAsia="宋体" w:ascii="宋体"/>
                <w:color w:val="231F20"/>
                <w:w w:val="105"/>
                <w:sz w:val="12"/>
              </w:rPr>
              <w:t>启用高吞吐量运行</w:t>
            </w:r>
          </w:p>
        </w:tc>
        <w:tc>
          <w:tcPr>
            <w:tcW w:w="1698" w:type="dxa"/>
            <w:gridSpan w:val="2"/>
          </w:tcPr>
          <w:p>
            <w:pPr>
              <w:pStyle w:val="TableParagraph"/>
              <w:spacing w:before="13"/>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3"/>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3"/>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3"/>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7"/>
              <w:ind w:left="275"/>
              <w:rPr>
                <w:rFonts w:hAnsi="宋体" w:eastAsia="宋体" w:ascii="宋体"/>
                <w:sz w:val="12"/>
              </w:rPr>
            </w:pPr>
            <w:r>
              <w:rPr>
                <w:rFonts w:hAnsi="宋体" w:eastAsia="宋体" w:ascii="宋体"/>
                <w:color w:val="231F20"/>
                <w:w w:val="168"/>
                <w:sz w:val="12"/>
              </w:rPr>
              <w:t>+</w:t>
            </w:r>
          </w:p>
        </w:tc>
      </w:tr>
      <w:tr>
        <w:trPr>
          <w:trHeight w:val="244" w:hRule="atLeast"/>
        </w:trPr>
        <w:tc>
          <w:tcPr>
            <w:tcW w:w="3138" w:type="dxa"/>
            <w:gridSpan w:val="2"/>
          </w:tcPr>
          <w:p>
            <w:pPr>
              <w:pStyle w:val="TableParagraph"/>
              <w:rPr>
                <w:rFonts w:hAnsi="宋体" w:eastAsia="宋体" w:ascii="宋体"/>
                <w:sz w:val="14"/>
              </w:rPr>
            </w:pPr>
          </w:p>
        </w:tc>
        <w:tc>
          <w:tcPr>
            <w:tcW w:w="1698" w:type="dxa"/>
            <w:gridSpan w:val="2"/>
          </w:tcPr>
          <w:p>
            <w:pPr>
              <w:pStyle w:val="TableParagraph"/>
              <w:spacing w:line="137" w:lineRule="exact" w:before="86"/>
              <w:ind w:left="269"/>
              <w:rPr>
                <w:rFonts w:hAnsi="宋体" w:eastAsia="宋体" w:ascii="宋体"/>
                <w:sz w:val="12"/>
              </w:rPr>
            </w:pPr>
            <w:r>
              <w:rPr>
                <w:rFonts w:hAnsi="宋体" w:eastAsia="宋体" w:ascii="宋体"/>
                <w:color w:val="231F20"/>
                <w:w w:val="105"/>
                <w:sz w:val="12"/>
              </w:rPr>
              <w:t>LC = 88.6±4.8%</w:t>
            </w:r>
          </w:p>
        </w:tc>
        <w:tc>
          <w:tcPr>
            <w:tcW w:w="1826" w:type="dxa"/>
            <w:gridSpan w:val="2"/>
          </w:tcPr>
          <w:p>
            <w:pPr>
              <w:pStyle w:val="TableParagraph"/>
              <w:spacing w:line="137" w:lineRule="exact" w:before="86"/>
              <w:ind w:left="270"/>
              <w:rPr>
                <w:rFonts w:hAnsi="宋体" w:eastAsia="宋体" w:ascii="宋体"/>
                <w:sz w:val="12"/>
              </w:rPr>
            </w:pPr>
            <w:r>
              <w:rPr>
                <w:rFonts w:hAnsi="宋体" w:eastAsia="宋体" w:ascii="宋体"/>
                <w:color w:val="231F20"/>
                <w:w w:val="105"/>
                <w:sz w:val="12"/>
              </w:rPr>
              <w:t>LC = 88.2±7.4%</w:t>
            </w:r>
          </w:p>
        </w:tc>
        <w:tc>
          <w:tcPr>
            <w:tcW w:w="891" w:type="dxa"/>
            <w:gridSpan w:val="2"/>
          </w:tcPr>
          <w:p>
            <w:pPr>
              <w:pStyle w:val="TableParagraph"/>
              <w:rPr>
                <w:rFonts w:hAnsi="宋体" w:eastAsia="宋体" w:ascii="宋体"/>
                <w:sz w:val="14"/>
              </w:rPr>
            </w:pPr>
          </w:p>
        </w:tc>
        <w:tc>
          <w:tcPr>
            <w:tcW w:w="1485" w:type="dxa"/>
            <w:gridSpan w:val="2"/>
          </w:tcPr>
          <w:p>
            <w:pPr>
              <w:pStyle w:val="TableParagraph"/>
              <w:spacing w:line="137" w:lineRule="exact" w:before="86"/>
              <w:ind w:left="274"/>
              <w:rPr>
                <w:rFonts w:hAnsi="宋体" w:eastAsia="宋体" w:ascii="宋体"/>
                <w:sz w:val="12"/>
              </w:rPr>
            </w:pPr>
            <w:r>
              <w:rPr>
                <w:rFonts w:hAnsi="宋体" w:eastAsia="宋体" w:ascii="宋体"/>
                <w:color w:val="231F20"/>
                <w:w w:val="105"/>
                <w:sz w:val="12"/>
              </w:rPr>
              <w:t>LC = 79.1±10.2%</w:t>
            </w:r>
          </w:p>
        </w:tc>
        <w:tc>
          <w:tcPr>
            <w:tcW w:w="1334" w:type="dxa"/>
            <w:gridSpan w:val="3"/>
          </w:tcPr>
          <w:p>
            <w:pPr>
              <w:pStyle w:val="TableParagraph"/>
              <w:spacing w:line="137" w:lineRule="exact" w:before="86"/>
              <w:ind w:left="275"/>
              <w:rPr>
                <w:rFonts w:hAnsi="宋体" w:eastAsia="宋体" w:ascii="宋体"/>
                <w:sz w:val="12"/>
              </w:rPr>
            </w:pPr>
            <w:r>
              <w:rPr>
                <w:rFonts w:hAnsi="宋体" w:eastAsia="宋体" w:ascii="宋体"/>
                <w:color w:val="231F20"/>
                <w:w w:val="105"/>
                <w:sz w:val="12"/>
              </w:rPr>
              <w:t>LC = 82.4±7.1%</w:t>
            </w:r>
          </w:p>
        </w:tc>
      </w:tr>
      <w:tr>
        <w:trPr>
          <w:trHeight w:val="165" w:hRule="atLeast"/>
        </w:trPr>
        <w:tc>
          <w:tcPr>
            <w:tcW w:w="3138" w:type="dxa"/>
            <w:gridSpan w:val="2"/>
          </w:tcPr>
          <w:p>
            <w:pPr>
              <w:pStyle w:val="TableParagraph"/>
              <w:rPr>
                <w:rFonts w:hAnsi="宋体" w:eastAsia="宋体" w:ascii="宋体"/>
                <w:sz w:val="10"/>
              </w:rPr>
            </w:pPr>
          </w:p>
        </w:tc>
        <w:tc>
          <w:tcPr>
            <w:tcW w:w="1698" w:type="dxa"/>
            <w:gridSpan w:val="2"/>
          </w:tcPr>
          <w:p>
            <w:pPr>
              <w:pStyle w:val="TableParagraph"/>
              <w:spacing w:line="132" w:lineRule="exact" w:before="13"/>
              <w:ind w:left="269"/>
              <w:rPr>
                <w:rFonts w:hAnsi="宋体" w:eastAsia="宋体" w:ascii="宋体"/>
                <w:sz w:val="12"/>
              </w:rPr>
            </w:pPr>
            <w:r>
              <w:rPr>
                <w:rFonts w:hAnsi="宋体" w:eastAsia="宋体" w:ascii="宋体"/>
                <w:color w:val="231F20"/>
                <w:w w:val="110"/>
                <w:sz w:val="12"/>
              </w:rPr>
              <w:t>(2000本初级读本)</w:t>
            </w:r>
          </w:p>
        </w:tc>
        <w:tc>
          <w:tcPr>
            <w:tcW w:w="1826" w:type="dxa"/>
            <w:gridSpan w:val="2"/>
          </w:tcPr>
          <w:p>
            <w:pPr>
              <w:pStyle w:val="TableParagraph"/>
              <w:spacing w:line="132" w:lineRule="exact" w:before="13"/>
              <w:ind w:left="270"/>
              <w:rPr>
                <w:rFonts w:hAnsi="宋体" w:eastAsia="宋体" w:ascii="宋体"/>
                <w:sz w:val="12"/>
              </w:rPr>
            </w:pPr>
            <w:r>
              <w:rPr>
                <w:rFonts w:hAnsi="宋体" w:eastAsia="宋体" w:ascii="宋体"/>
                <w:color w:val="231F20"/>
                <w:w w:val="110"/>
                <w:sz w:val="12"/>
              </w:rPr>
              <w:t>(407个引物)</w:t>
            </w:r>
          </w:p>
        </w:tc>
        <w:tc>
          <w:tcPr>
            <w:tcW w:w="891" w:type="dxa"/>
            <w:gridSpan w:val="2"/>
          </w:tcPr>
          <w:p>
            <w:pPr>
              <w:pStyle w:val="TableParagraph"/>
              <w:rPr>
                <w:rFonts w:hAnsi="宋体" w:eastAsia="宋体" w:ascii="宋体"/>
                <w:sz w:val="10"/>
              </w:rPr>
            </w:pPr>
          </w:p>
        </w:tc>
        <w:tc>
          <w:tcPr>
            <w:tcW w:w="1485" w:type="dxa"/>
            <w:gridSpan w:val="2"/>
          </w:tcPr>
          <w:p>
            <w:pPr>
              <w:pStyle w:val="TableParagraph"/>
              <w:spacing w:line="132" w:lineRule="exact" w:before="13"/>
              <w:ind w:left="274"/>
              <w:rPr>
                <w:rFonts w:hAnsi="宋体" w:eastAsia="宋体" w:ascii="宋体"/>
                <w:sz w:val="12"/>
              </w:rPr>
            </w:pPr>
            <w:r>
              <w:rPr>
                <w:rFonts w:hAnsi="宋体" w:eastAsia="宋体" w:ascii="宋体"/>
                <w:color w:val="231F20"/>
                <w:w w:val="110"/>
                <w:sz w:val="12"/>
              </w:rPr>
              <w:t>(525个引物)</w:t>
            </w:r>
          </w:p>
        </w:tc>
        <w:tc>
          <w:tcPr>
            <w:tcW w:w="1334" w:type="dxa"/>
            <w:gridSpan w:val="3"/>
          </w:tcPr>
          <w:p>
            <w:pPr>
              <w:pStyle w:val="TableParagraph"/>
              <w:spacing w:line="132" w:lineRule="exact" w:before="13"/>
              <w:ind w:left="275"/>
              <w:rPr>
                <w:rFonts w:hAnsi="宋体" w:eastAsia="宋体" w:ascii="宋体"/>
                <w:sz w:val="12"/>
              </w:rPr>
            </w:pPr>
            <w:r>
              <w:rPr>
                <w:rFonts w:hAnsi="宋体" w:eastAsia="宋体" w:ascii="宋体"/>
                <w:color w:val="231F20"/>
                <w:w w:val="110"/>
                <w:sz w:val="12"/>
              </w:rPr>
              <w:t>(2000本初级读本)</w:t>
            </w:r>
          </w:p>
        </w:tc>
      </w:tr>
      <w:tr>
        <w:trPr>
          <w:trHeight w:val="183" w:hRule="atLeast"/>
        </w:trPr>
        <w:tc>
          <w:tcPr>
            <w:tcW w:w="3138" w:type="dxa"/>
            <w:gridSpan w:val="2"/>
          </w:tcPr>
          <w:p>
            <w:pPr>
              <w:pStyle w:val="TableParagraph"/>
              <w:spacing w:before="19"/>
              <w:ind w:left="119"/>
              <w:rPr>
                <w:rFonts w:hAnsi="宋体" w:eastAsia="宋体" w:ascii="宋体"/>
                <w:sz w:val="12"/>
              </w:rPr>
            </w:pPr>
            <w:r>
              <w:rPr>
                <w:rFonts w:hAnsi="宋体" w:eastAsia="宋体" w:ascii="宋体"/>
                <w:color w:val="231F20"/>
                <w:w w:val="105"/>
                <w:sz w:val="12"/>
              </w:rPr>
              <w:t>最佳退火温度的计算</w:t>
            </w:r>
          </w:p>
        </w:tc>
        <w:tc>
          <w:tcPr>
            <w:tcW w:w="1698" w:type="dxa"/>
            <w:gridSpan w:val="2"/>
          </w:tcPr>
          <w:p>
            <w:pPr>
              <w:pStyle w:val="TableParagraph"/>
              <w:spacing w:before="25"/>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25"/>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25"/>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25"/>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19"/>
              <w:ind w:left="275"/>
              <w:rPr>
                <w:rFonts w:hAnsi="宋体" w:eastAsia="宋体" w:ascii="宋体"/>
                <w:sz w:val="12"/>
              </w:rPr>
            </w:pPr>
            <w:r>
              <w:rPr>
                <w:rFonts w:hAnsi="宋体" w:eastAsia="宋体" w:ascii="宋体"/>
                <w:color w:val="231F20"/>
                <w:w w:val="168"/>
                <w:sz w:val="12"/>
              </w:rPr>
              <w:t>+</w:t>
            </w:r>
          </w:p>
        </w:tc>
      </w:tr>
      <w:tr>
        <w:trPr>
          <w:trHeight w:val="171"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w w:val="105"/>
                <w:sz w:val="12"/>
              </w:rPr>
              <w:t>引物的3’端交叉和自身二聚体</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6"/>
              <w:ind w:left="270"/>
              <w:rPr>
                <w:rFonts w:hAnsi="宋体" w:eastAsia="宋体" w:ascii="宋体"/>
                <w:sz w:val="12"/>
              </w:rPr>
            </w:pPr>
            <w:r>
              <w:rPr>
                <w:rFonts w:hAnsi="宋体" w:eastAsia="宋体" w:ascii="宋体"/>
                <w:color w:val="231F20"/>
                <w:w w:val="168"/>
                <w:sz w:val="12"/>
              </w:rPr>
              <w:t>+</w:t>
            </w:r>
          </w:p>
        </w:tc>
        <w:tc>
          <w:tcPr>
            <w:tcW w:w="891" w:type="dxa"/>
            <w:gridSpan w:val="2"/>
          </w:tcPr>
          <w:p>
            <w:pPr>
              <w:pStyle w:val="TableParagraph"/>
              <w:spacing w:before="6"/>
              <w:ind w:left="272"/>
              <w:rPr>
                <w:rFonts w:hAnsi="宋体" w:eastAsia="宋体" w:ascii="宋体"/>
                <w:sz w:val="12"/>
              </w:rPr>
            </w:pPr>
            <w:r>
              <w:rPr>
                <w:rFonts w:hAnsi="宋体" w:eastAsia="宋体" w:ascii="宋体"/>
                <w:color w:val="231F20"/>
                <w:w w:val="168"/>
                <w:sz w:val="12"/>
              </w:rPr>
              <w:t>+</w:t>
            </w:r>
          </w:p>
        </w:tc>
        <w:tc>
          <w:tcPr>
            <w:tcW w:w="1485" w:type="dxa"/>
            <w:gridSpan w:val="2"/>
          </w:tcPr>
          <w:p>
            <w:pPr>
              <w:pStyle w:val="TableParagraph"/>
              <w:spacing w:before="6"/>
              <w:ind w:left="274"/>
              <w:rPr>
                <w:rFonts w:hAnsi="宋体" w:eastAsia="宋体" w:ascii="宋体"/>
                <w:sz w:val="12"/>
              </w:rPr>
            </w:pPr>
            <w:r>
              <w:rPr>
                <w:rFonts w:hAnsi="宋体" w:eastAsia="宋体" w:ascii="宋体"/>
                <w:color w:val="231F20"/>
                <w:w w:val="168"/>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262"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w w:val="105"/>
                <w:sz w:val="12"/>
              </w:rPr>
              <w:t>g-四链体检测</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2"/>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2"/>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240" w:hRule="atLeast"/>
        </w:trPr>
        <w:tc>
          <w:tcPr>
            <w:tcW w:w="3138" w:type="dxa"/>
            <w:gridSpan w:val="2"/>
          </w:tcPr>
          <w:p>
            <w:pPr>
              <w:pStyle w:val="TableParagraph"/>
              <w:rPr>
                <w:rFonts w:hAnsi="宋体" w:eastAsia="宋体" w:ascii="宋体"/>
                <w:sz w:val="14"/>
              </w:rPr>
            </w:pPr>
          </w:p>
        </w:tc>
        <w:tc>
          <w:tcPr>
            <w:tcW w:w="1698" w:type="dxa"/>
            <w:gridSpan w:val="2"/>
          </w:tcPr>
          <w:p>
            <w:pPr>
              <w:pStyle w:val="TableParagraph"/>
              <w:spacing w:line="132" w:lineRule="exact" w:before="88"/>
              <w:ind w:left="269" w:right="-29"/>
              <w:rPr>
                <w:rFonts w:hAnsi="宋体" w:eastAsia="宋体" w:ascii="宋体"/>
                <w:sz w:val="12"/>
              </w:rPr>
            </w:pPr>
            <w:r>
              <w:rPr>
                <w:rFonts w:hAnsi="宋体" w:eastAsia="宋体" w:ascii="宋体"/>
                <w:color w:val="231F20"/>
                <w:spacing w:val="-1"/>
                <w:w w:val="105"/>
                <w:sz w:val="12"/>
              </w:rPr>
              <w:t>替代放大</w:t>
            </w:r>
          </w:p>
        </w:tc>
        <w:tc>
          <w:tcPr>
            <w:tcW w:w="1826" w:type="dxa"/>
            <w:gridSpan w:val="2"/>
          </w:tcPr>
          <w:p>
            <w:pPr>
              <w:pStyle w:val="TableParagraph"/>
              <w:rPr>
                <w:rFonts w:hAnsi="宋体" w:eastAsia="宋体" w:ascii="宋体"/>
                <w:sz w:val="14"/>
              </w:rPr>
            </w:pPr>
          </w:p>
        </w:tc>
        <w:tc>
          <w:tcPr>
            <w:tcW w:w="891" w:type="dxa"/>
            <w:gridSpan w:val="2"/>
          </w:tcPr>
          <w:p>
            <w:pPr>
              <w:pStyle w:val="TableParagraph"/>
              <w:rPr>
                <w:rFonts w:hAnsi="宋体" w:eastAsia="宋体" w:ascii="宋体"/>
                <w:sz w:val="14"/>
              </w:rPr>
            </w:pPr>
          </w:p>
        </w:tc>
        <w:tc>
          <w:tcPr>
            <w:tcW w:w="1485" w:type="dxa"/>
            <w:gridSpan w:val="2"/>
          </w:tcPr>
          <w:p>
            <w:pPr>
              <w:pStyle w:val="TableParagraph"/>
              <w:rPr>
                <w:rFonts w:hAnsi="宋体" w:eastAsia="宋体" w:ascii="宋体"/>
                <w:sz w:val="14"/>
              </w:rPr>
            </w:pPr>
          </w:p>
        </w:tc>
        <w:tc>
          <w:tcPr>
            <w:tcW w:w="1334" w:type="dxa"/>
            <w:gridSpan w:val="3"/>
          </w:tcPr>
          <w:p>
            <w:pPr>
              <w:pStyle w:val="TableParagraph"/>
              <w:rPr>
                <w:rFonts w:hAnsi="宋体" w:eastAsia="宋体" w:ascii="宋体"/>
                <w:sz w:val="14"/>
              </w:rPr>
            </w:pPr>
          </w:p>
        </w:tc>
      </w:tr>
      <w:tr>
        <w:trPr>
          <w:trHeight w:val="183" w:hRule="atLeast"/>
        </w:trPr>
        <w:tc>
          <w:tcPr>
            <w:tcW w:w="3138" w:type="dxa"/>
            <w:gridSpan w:val="2"/>
          </w:tcPr>
          <w:p>
            <w:pPr>
              <w:pStyle w:val="TableParagraph"/>
              <w:spacing w:before="19"/>
              <w:ind w:left="119"/>
              <w:rPr>
                <w:rFonts w:hAnsi="宋体" w:eastAsia="宋体" w:ascii="宋体"/>
                <w:sz w:val="12"/>
              </w:rPr>
            </w:pPr>
            <w:r>
              <w:rPr>
                <w:rFonts w:hAnsi="宋体" w:eastAsia="宋体" w:ascii="宋体"/>
                <w:color w:val="231F20"/>
                <w:w w:val="95"/>
                <w:sz w:val="12"/>
              </w:rPr>
              <w:t>BLAST搜索</w:t>
            </w:r>
          </w:p>
        </w:tc>
        <w:tc>
          <w:tcPr>
            <w:tcW w:w="1698" w:type="dxa"/>
            <w:gridSpan w:val="2"/>
          </w:tcPr>
          <w:p>
            <w:pPr>
              <w:pStyle w:val="TableParagraph"/>
              <w:spacing w:before="19"/>
              <w:ind w:left="269"/>
              <w:rPr>
                <w:rFonts w:hAnsi="宋体" w:eastAsia="宋体" w:ascii="宋体"/>
                <w:sz w:val="12"/>
              </w:rPr>
            </w:pPr>
            <w:r>
              <w:rPr>
                <w:rFonts w:hAnsi="宋体" w:eastAsia="宋体" w:ascii="宋体"/>
                <w:color w:val="231F20"/>
                <w:w w:val="168"/>
                <w:sz w:val="12"/>
              </w:rPr>
              <w:t>+</w:t>
            </w:r>
          </w:p>
        </w:tc>
        <w:tc>
          <w:tcPr>
            <w:tcW w:w="1826" w:type="dxa"/>
            <w:gridSpan w:val="2"/>
          </w:tcPr>
          <w:p>
            <w:pPr>
              <w:pStyle w:val="TableParagraph"/>
              <w:spacing w:before="25"/>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9"/>
              <w:ind w:left="272"/>
              <w:rPr>
                <w:rFonts w:hAnsi="宋体" w:eastAsia="宋体" w:ascii="宋体"/>
                <w:sz w:val="12"/>
              </w:rPr>
            </w:pPr>
            <w:r>
              <w:rPr>
                <w:rFonts w:hAnsi="宋体" w:eastAsia="宋体" w:ascii="宋体"/>
                <w:color w:val="231F20"/>
                <w:w w:val="168"/>
                <w:sz w:val="12"/>
              </w:rPr>
              <w:t>+</w:t>
            </w:r>
          </w:p>
        </w:tc>
        <w:tc>
          <w:tcPr>
            <w:tcW w:w="1485" w:type="dxa"/>
            <w:gridSpan w:val="2"/>
          </w:tcPr>
          <w:p>
            <w:pPr>
              <w:pStyle w:val="TableParagraph"/>
              <w:spacing w:before="19"/>
              <w:ind w:left="274"/>
              <w:rPr>
                <w:rFonts w:hAnsi="宋体" w:eastAsia="宋体" w:ascii="宋体"/>
                <w:sz w:val="12"/>
              </w:rPr>
            </w:pPr>
            <w:r>
              <w:rPr>
                <w:rFonts w:hAnsi="宋体" w:eastAsia="宋体" w:ascii="宋体"/>
                <w:color w:val="231F20"/>
                <w:w w:val="168"/>
                <w:sz w:val="12"/>
              </w:rPr>
              <w:t>+</w:t>
            </w:r>
          </w:p>
        </w:tc>
        <w:tc>
          <w:tcPr>
            <w:tcW w:w="1334" w:type="dxa"/>
            <w:gridSpan w:val="3"/>
          </w:tcPr>
          <w:p>
            <w:pPr>
              <w:pStyle w:val="TableParagraph"/>
              <w:spacing w:before="25"/>
              <w:ind w:left="275"/>
              <w:rPr>
                <w:rFonts w:hAnsi="宋体" w:eastAsia="宋体" w:ascii="宋体"/>
                <w:sz w:val="12"/>
              </w:rPr>
            </w:pPr>
            <w:r>
              <w:rPr>
                <w:rFonts w:hAnsi="宋体" w:eastAsia="宋体" w:ascii="宋体"/>
                <w:color w:val="231F20"/>
                <w:w w:val="180"/>
                <w:sz w:val="12"/>
              </w:rPr>
              <w:t>−</w:t>
            </w:r>
          </w:p>
        </w:tc>
      </w:tr>
      <w:tr>
        <w:trPr>
          <w:trHeight w:val="171"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w w:val="105"/>
                <w:sz w:val="12"/>
              </w:rPr>
              <w:t>内部序列测试</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2"/>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2"/>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262"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w w:val="105"/>
                <w:sz w:val="12"/>
              </w:rPr>
              <w:t>外部(特定库)测试</w:t>
            </w:r>
          </w:p>
        </w:tc>
        <w:tc>
          <w:tcPr>
            <w:tcW w:w="1698" w:type="dxa"/>
            <w:gridSpan w:val="2"/>
          </w:tcPr>
          <w:p>
            <w:pPr>
              <w:pStyle w:val="TableParagraph"/>
              <w:spacing w:before="6"/>
              <w:ind w:left="269"/>
              <w:rPr>
                <w:rFonts w:hAnsi="宋体" w:eastAsia="宋体" w:ascii="宋体"/>
                <w:sz w:val="12"/>
              </w:rPr>
            </w:pPr>
            <w:r>
              <w:rPr>
                <w:rFonts w:hAnsi="宋体" w:eastAsia="宋体" w:ascii="宋体"/>
                <w:color w:val="231F20"/>
                <w:w w:val="168"/>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6"/>
              <w:ind w:left="272"/>
              <w:rPr>
                <w:rFonts w:hAnsi="宋体" w:eastAsia="宋体" w:ascii="宋体"/>
                <w:sz w:val="12"/>
              </w:rPr>
            </w:pPr>
            <w:r>
              <w:rPr>
                <w:rFonts w:hAnsi="宋体" w:eastAsia="宋体" w:ascii="宋体"/>
                <w:color w:val="231F20"/>
                <w:w w:val="168"/>
                <w:sz w:val="12"/>
              </w:rPr>
              <w:t>+</w:t>
            </w:r>
          </w:p>
        </w:tc>
        <w:tc>
          <w:tcPr>
            <w:tcW w:w="1485" w:type="dxa"/>
            <w:gridSpan w:val="2"/>
          </w:tcPr>
          <w:p>
            <w:pPr>
              <w:pStyle w:val="TableParagraph"/>
              <w:spacing w:before="6"/>
              <w:ind w:left="274"/>
              <w:rPr>
                <w:rFonts w:hAnsi="宋体" w:eastAsia="宋体" w:ascii="宋体"/>
                <w:sz w:val="12"/>
              </w:rPr>
            </w:pPr>
            <w:r>
              <w:rPr>
                <w:rFonts w:hAnsi="宋体" w:eastAsia="宋体" w:ascii="宋体"/>
                <w:color w:val="231F20"/>
                <w:w w:val="168"/>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238" w:hRule="atLeast"/>
        </w:trPr>
        <w:tc>
          <w:tcPr>
            <w:tcW w:w="3138" w:type="dxa"/>
            <w:gridSpan w:val="2"/>
          </w:tcPr>
          <w:p>
            <w:pPr>
              <w:pStyle w:val="TableParagraph"/>
              <w:rPr>
                <w:rFonts w:hAnsi="宋体" w:eastAsia="宋体" w:ascii="宋体"/>
                <w:sz w:val="14"/>
              </w:rPr>
            </w:pPr>
          </w:p>
        </w:tc>
        <w:tc>
          <w:tcPr>
            <w:tcW w:w="1698" w:type="dxa"/>
            <w:gridSpan w:val="2"/>
          </w:tcPr>
          <w:p>
            <w:pPr>
              <w:pStyle w:val="TableParagraph"/>
              <w:spacing w:line="132" w:lineRule="exact" w:before="86"/>
              <w:ind w:left="269"/>
              <w:rPr>
                <w:rFonts w:hAnsi="宋体" w:eastAsia="宋体" w:ascii="宋体"/>
                <w:sz w:val="12"/>
              </w:rPr>
            </w:pPr>
            <w:r>
              <w:rPr>
                <w:rFonts w:hAnsi="宋体" w:eastAsia="宋体" w:ascii="宋体"/>
                <w:color w:val="231F20"/>
                <w:sz w:val="12"/>
              </w:rPr>
              <w:t>聚合酶链反应应用</w:t>
            </w:r>
          </w:p>
        </w:tc>
        <w:tc>
          <w:tcPr>
            <w:tcW w:w="1826" w:type="dxa"/>
            <w:gridSpan w:val="2"/>
          </w:tcPr>
          <w:p>
            <w:pPr>
              <w:pStyle w:val="TableParagraph"/>
              <w:rPr>
                <w:rFonts w:hAnsi="宋体" w:eastAsia="宋体" w:ascii="宋体"/>
                <w:sz w:val="14"/>
              </w:rPr>
            </w:pPr>
          </w:p>
        </w:tc>
        <w:tc>
          <w:tcPr>
            <w:tcW w:w="891" w:type="dxa"/>
            <w:gridSpan w:val="2"/>
          </w:tcPr>
          <w:p>
            <w:pPr>
              <w:pStyle w:val="TableParagraph"/>
              <w:rPr>
                <w:rFonts w:hAnsi="宋体" w:eastAsia="宋体" w:ascii="宋体"/>
                <w:sz w:val="14"/>
              </w:rPr>
            </w:pPr>
          </w:p>
        </w:tc>
        <w:tc>
          <w:tcPr>
            <w:tcW w:w="1485" w:type="dxa"/>
            <w:gridSpan w:val="2"/>
          </w:tcPr>
          <w:p>
            <w:pPr>
              <w:pStyle w:val="TableParagraph"/>
              <w:rPr>
                <w:rFonts w:hAnsi="宋体" w:eastAsia="宋体" w:ascii="宋体"/>
                <w:sz w:val="14"/>
              </w:rPr>
            </w:pPr>
          </w:p>
        </w:tc>
        <w:tc>
          <w:tcPr>
            <w:tcW w:w="1334" w:type="dxa"/>
            <w:gridSpan w:val="3"/>
          </w:tcPr>
          <w:p>
            <w:pPr>
              <w:pStyle w:val="TableParagraph"/>
              <w:rPr>
                <w:rFonts w:hAnsi="宋体" w:eastAsia="宋体" w:ascii="宋体"/>
                <w:sz w:val="14"/>
              </w:rPr>
            </w:pPr>
          </w:p>
        </w:tc>
      </w:tr>
      <w:tr>
        <w:trPr>
          <w:trHeight w:val="194" w:hRule="atLeast"/>
        </w:trPr>
        <w:tc>
          <w:tcPr>
            <w:tcW w:w="3138" w:type="dxa"/>
            <w:gridSpan w:val="2"/>
          </w:tcPr>
          <w:p>
            <w:pPr>
              <w:pStyle w:val="TableParagraph"/>
              <w:spacing w:before="19"/>
              <w:ind w:left="119"/>
              <w:rPr>
                <w:rFonts w:hAnsi="宋体" w:eastAsia="宋体" w:ascii="宋体"/>
                <w:sz w:val="12"/>
              </w:rPr>
            </w:pPr>
            <w:r>
              <w:rPr>
                <w:rFonts w:hAnsi="宋体" w:eastAsia="宋体" w:ascii="宋体"/>
                <w:color w:val="231F20"/>
                <w:w w:val="105"/>
                <w:sz w:val="12"/>
              </w:rPr>
              <w:t>用成对引物和/或单引物进行多重聚合酶链反应</w:t>
            </w:r>
          </w:p>
        </w:tc>
        <w:tc>
          <w:tcPr>
            <w:tcW w:w="1698" w:type="dxa"/>
            <w:gridSpan w:val="2"/>
          </w:tcPr>
          <w:p>
            <w:pPr>
              <w:pStyle w:val="TableParagraph"/>
              <w:spacing w:before="25"/>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25"/>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25"/>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25"/>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19"/>
              <w:ind w:left="275"/>
              <w:rPr>
                <w:rFonts w:hAnsi="宋体" w:eastAsia="宋体" w:ascii="宋体"/>
                <w:sz w:val="12"/>
              </w:rPr>
            </w:pPr>
            <w:r>
              <w:rPr>
                <w:rFonts w:hAnsi="宋体" w:eastAsia="宋体" w:ascii="宋体"/>
                <w:color w:val="231F20"/>
                <w:w w:val="168"/>
                <w:sz w:val="12"/>
              </w:rPr>
              <w:t>+</w:t>
            </w:r>
          </w:p>
        </w:tc>
      </w:tr>
      <w:tr>
        <w:trPr>
          <w:trHeight w:val="146" w:hRule="atLeast"/>
        </w:trPr>
        <w:tc>
          <w:tcPr>
            <w:tcW w:w="119" w:type="dxa"/>
          </w:tcPr>
          <w:p>
            <w:pPr>
              <w:pStyle w:val="TableParagraph"/>
              <w:rPr>
                <w:rFonts w:hAnsi="宋体" w:eastAsia="宋体" w:ascii="宋体"/>
                <w:sz w:val="8"/>
              </w:rPr>
            </w:pPr>
          </w:p>
        </w:tc>
        <w:tc>
          <w:tcPr>
            <w:tcW w:w="3019" w:type="dxa"/>
          </w:tcPr>
          <w:p>
            <w:pPr>
              <w:pStyle w:val="TableParagraph"/>
              <w:spacing w:line="126" w:lineRule="exact"/>
              <w:ind w:left="120"/>
              <w:rPr>
                <w:rFonts w:hAnsi="宋体" w:eastAsia="宋体" w:ascii="宋体"/>
                <w:sz w:val="12"/>
              </w:rPr>
            </w:pPr>
            <w:r>
              <w:rPr>
                <w:rFonts w:hAnsi="宋体" w:eastAsia="宋体" w:ascii="宋体"/>
                <w:color w:val="231F20"/>
                <w:w w:val="105"/>
                <w:sz w:val="12"/>
              </w:rPr>
              <w:t>火帽</w:t>
            </w:r>
          </w:p>
        </w:tc>
        <w:tc>
          <w:tcPr>
            <w:tcW w:w="268" w:type="dxa"/>
          </w:tcPr>
          <w:p>
            <w:pPr>
              <w:pStyle w:val="TableParagraph"/>
              <w:rPr>
                <w:rFonts w:hAnsi="宋体" w:eastAsia="宋体" w:ascii="宋体"/>
                <w:sz w:val="8"/>
              </w:rPr>
            </w:pPr>
          </w:p>
        </w:tc>
        <w:tc>
          <w:tcPr>
            <w:tcW w:w="1430"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1558"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623"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1217"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947" w:type="dxa"/>
          </w:tcPr>
          <w:p>
            <w:pPr>
              <w:pStyle w:val="TableParagraph"/>
              <w:rPr>
                <w:rFonts w:hAnsi="宋体" w:eastAsia="宋体" w:ascii="宋体"/>
                <w:sz w:val="8"/>
              </w:rPr>
            </w:pPr>
          </w:p>
        </w:tc>
        <w:tc>
          <w:tcPr>
            <w:tcW w:w="119" w:type="dxa"/>
          </w:tcPr>
          <w:p>
            <w:pPr>
              <w:pStyle w:val="TableParagraph"/>
              <w:rPr>
                <w:rFonts w:hAnsi="宋体" w:eastAsia="宋体" w:ascii="宋体"/>
                <w:sz w:val="8"/>
              </w:rPr>
            </w:pPr>
          </w:p>
        </w:tc>
      </w:tr>
      <w:tr>
        <w:trPr>
          <w:trHeight w:val="186" w:hRule="atLeast"/>
        </w:trPr>
        <w:tc>
          <w:tcPr>
            <w:tcW w:w="3138" w:type="dxa"/>
            <w:gridSpan w:val="2"/>
          </w:tcPr>
          <w:p>
            <w:pPr>
              <w:pStyle w:val="TableParagraph"/>
              <w:spacing w:line="145" w:lineRule="exact" w:before="17"/>
              <w:ind w:left="119"/>
              <w:rPr>
                <w:rFonts w:hAnsi="宋体" w:eastAsia="宋体" w:ascii="宋体"/>
                <w:sz w:val="12"/>
              </w:rPr>
            </w:pPr>
            <w:r>
              <w:rPr>
                <w:rFonts w:hAnsi="宋体" w:eastAsia="宋体" w:ascii="宋体"/>
                <w:i/>
                <w:color w:val="231F20"/>
                <w:w w:val="105"/>
                <w:sz w:val="12"/>
              </w:rPr>
              <w:t>多序列和引物的电子聚合酶链反应</w:t>
            </w:r>
          </w:p>
        </w:tc>
        <w:tc>
          <w:tcPr>
            <w:tcW w:w="1698" w:type="dxa"/>
            <w:gridSpan w:val="2"/>
          </w:tcPr>
          <w:p>
            <w:pPr>
              <w:pStyle w:val="TableParagraph"/>
              <w:spacing w:before="23"/>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23"/>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23"/>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7"/>
              <w:ind w:left="274"/>
              <w:rPr>
                <w:rFonts w:hAnsi="宋体" w:eastAsia="宋体" w:ascii="宋体"/>
                <w:sz w:val="12"/>
              </w:rPr>
            </w:pPr>
            <w:r>
              <w:rPr>
                <w:rFonts w:hAnsi="宋体" w:eastAsia="宋体" w:ascii="宋体"/>
                <w:color w:val="231F20"/>
                <w:w w:val="168"/>
                <w:sz w:val="12"/>
              </w:rPr>
              <w:t>+</w:t>
            </w:r>
          </w:p>
        </w:tc>
        <w:tc>
          <w:tcPr>
            <w:tcW w:w="1334" w:type="dxa"/>
            <w:gridSpan w:val="3"/>
          </w:tcPr>
          <w:p>
            <w:pPr>
              <w:pStyle w:val="TableParagraph"/>
              <w:spacing w:before="17"/>
              <w:ind w:left="275"/>
              <w:rPr>
                <w:rFonts w:hAnsi="宋体" w:eastAsia="宋体" w:ascii="宋体"/>
                <w:sz w:val="12"/>
              </w:rPr>
            </w:pPr>
            <w:r>
              <w:rPr>
                <w:rFonts w:hAnsi="宋体" w:eastAsia="宋体" w:ascii="宋体"/>
                <w:color w:val="231F20"/>
                <w:w w:val="168"/>
                <w:sz w:val="12"/>
              </w:rPr>
              <w:t>+</w:t>
            </w:r>
          </w:p>
        </w:tc>
      </w:tr>
      <w:tr>
        <w:trPr>
          <w:trHeight w:val="171"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sz w:val="12"/>
              </w:rPr>
              <w:t>通用和独特的聚合酶链反应</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2"/>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2"/>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171"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sz w:val="12"/>
              </w:rPr>
              <w:t>反向聚合酶链反应和循环序列</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2"/>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2"/>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171" w:hRule="atLeast"/>
        </w:trPr>
        <w:tc>
          <w:tcPr>
            <w:tcW w:w="3138" w:type="dxa"/>
            <w:gridSpan w:val="2"/>
          </w:tcPr>
          <w:p>
            <w:pPr>
              <w:pStyle w:val="TableParagraph"/>
              <w:spacing w:line="145" w:lineRule="exact" w:before="6"/>
              <w:ind w:left="119" w:right="-15"/>
              <w:rPr>
                <w:rFonts w:hAnsi="宋体" w:eastAsia="宋体" w:ascii="宋体"/>
                <w:sz w:val="12"/>
              </w:rPr>
            </w:pPr>
            <w:r>
              <w:rPr>
                <w:rFonts w:hAnsi="宋体" w:eastAsia="宋体" w:ascii="宋体"/>
                <w:color w:val="231F20"/>
                <w:sz w:val="12"/>
              </w:rPr>
              <w:t>亚硫酸氢盐修饰聚合酶链反应分析和电子聚合酶链反应</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6"/>
              <w:ind w:left="272"/>
              <w:rPr>
                <w:rFonts w:hAnsi="宋体" w:eastAsia="宋体" w:ascii="宋体"/>
                <w:sz w:val="12"/>
              </w:rPr>
            </w:pPr>
            <w:r>
              <w:rPr>
                <w:rFonts w:hAnsi="宋体" w:eastAsia="宋体" w:ascii="宋体"/>
                <w:color w:val="231F20"/>
                <w:w w:val="168"/>
                <w:sz w:val="12"/>
              </w:rPr>
              <w:t>+</w:t>
            </w:r>
          </w:p>
        </w:tc>
        <w:tc>
          <w:tcPr>
            <w:tcW w:w="1485" w:type="dxa"/>
            <w:gridSpan w:val="2"/>
          </w:tcPr>
          <w:p>
            <w:pPr>
              <w:pStyle w:val="TableParagraph"/>
              <w:spacing w:before="6"/>
              <w:ind w:left="274"/>
              <w:rPr>
                <w:rFonts w:hAnsi="宋体" w:eastAsia="宋体" w:ascii="宋体"/>
                <w:sz w:val="12"/>
              </w:rPr>
            </w:pPr>
            <w:r>
              <w:rPr>
                <w:rFonts w:hAnsi="宋体" w:eastAsia="宋体" w:ascii="宋体"/>
                <w:color w:val="231F20"/>
                <w:w w:val="168"/>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181" w:hRule="atLeast"/>
        </w:trPr>
        <w:tc>
          <w:tcPr>
            <w:tcW w:w="3138" w:type="dxa"/>
            <w:gridSpan w:val="2"/>
          </w:tcPr>
          <w:p>
            <w:pPr>
              <w:pStyle w:val="TableParagraph"/>
              <w:spacing w:before="6"/>
              <w:ind w:left="119"/>
              <w:rPr>
                <w:rFonts w:hAnsi="宋体" w:eastAsia="宋体" w:ascii="宋体"/>
                <w:sz w:val="12"/>
              </w:rPr>
            </w:pPr>
            <w:r>
              <w:rPr>
                <w:rFonts w:hAnsi="宋体" w:eastAsia="宋体" w:ascii="宋体"/>
                <w:color w:val="231F20"/>
                <w:w w:val="105"/>
                <w:sz w:val="12"/>
              </w:rPr>
              <w:t>聚合酶链反应延伸多片段</w:t>
            </w:r>
          </w:p>
        </w:tc>
        <w:tc>
          <w:tcPr>
            <w:tcW w:w="1698" w:type="dxa"/>
            <w:gridSpan w:val="2"/>
          </w:tcPr>
          <w:p>
            <w:pPr>
              <w:pStyle w:val="TableParagraph"/>
              <w:spacing w:before="12"/>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12"/>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12"/>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12"/>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6"/>
              <w:ind w:left="275"/>
              <w:rPr>
                <w:rFonts w:hAnsi="宋体" w:eastAsia="宋体" w:ascii="宋体"/>
                <w:sz w:val="12"/>
              </w:rPr>
            </w:pPr>
            <w:r>
              <w:rPr>
                <w:rFonts w:hAnsi="宋体" w:eastAsia="宋体" w:ascii="宋体"/>
                <w:color w:val="231F20"/>
                <w:w w:val="168"/>
                <w:sz w:val="12"/>
              </w:rPr>
              <w:t>+</w:t>
            </w:r>
          </w:p>
        </w:tc>
      </w:tr>
      <w:tr>
        <w:trPr>
          <w:trHeight w:val="146" w:hRule="atLeast"/>
        </w:trPr>
        <w:tc>
          <w:tcPr>
            <w:tcW w:w="119" w:type="dxa"/>
          </w:tcPr>
          <w:p>
            <w:pPr>
              <w:pStyle w:val="TableParagraph"/>
              <w:rPr>
                <w:rFonts w:hAnsi="宋体" w:eastAsia="宋体" w:ascii="宋体"/>
                <w:sz w:val="8"/>
              </w:rPr>
            </w:pPr>
          </w:p>
        </w:tc>
        <w:tc>
          <w:tcPr>
            <w:tcW w:w="3019" w:type="dxa"/>
          </w:tcPr>
          <w:p>
            <w:pPr>
              <w:pStyle w:val="TableParagraph"/>
              <w:spacing w:line="126" w:lineRule="exact"/>
              <w:ind w:left="120"/>
              <w:rPr>
                <w:rFonts w:hAnsi="宋体" w:eastAsia="宋体" w:ascii="宋体"/>
                <w:sz w:val="12"/>
              </w:rPr>
            </w:pPr>
            <w:r>
              <w:rPr>
                <w:rFonts w:hAnsi="宋体" w:eastAsia="宋体" w:ascii="宋体"/>
                <w:color w:val="231F20"/>
                <w:w w:val="105"/>
                <w:sz w:val="12"/>
              </w:rPr>
              <w:t>装配克隆</w:t>
            </w:r>
          </w:p>
        </w:tc>
        <w:tc>
          <w:tcPr>
            <w:tcW w:w="268" w:type="dxa"/>
          </w:tcPr>
          <w:p>
            <w:pPr>
              <w:pStyle w:val="TableParagraph"/>
              <w:rPr>
                <w:rFonts w:hAnsi="宋体" w:eastAsia="宋体" w:ascii="宋体"/>
                <w:sz w:val="8"/>
              </w:rPr>
            </w:pPr>
          </w:p>
        </w:tc>
        <w:tc>
          <w:tcPr>
            <w:tcW w:w="1430"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1558"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623"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1217" w:type="dxa"/>
          </w:tcPr>
          <w:p>
            <w:pPr>
              <w:pStyle w:val="TableParagraph"/>
              <w:rPr>
                <w:rFonts w:hAnsi="宋体" w:eastAsia="宋体" w:ascii="宋体"/>
                <w:sz w:val="8"/>
              </w:rPr>
            </w:pPr>
          </w:p>
        </w:tc>
        <w:tc>
          <w:tcPr>
            <w:tcW w:w="268" w:type="dxa"/>
          </w:tcPr>
          <w:p>
            <w:pPr>
              <w:pStyle w:val="TableParagraph"/>
              <w:rPr>
                <w:rFonts w:hAnsi="宋体" w:eastAsia="宋体" w:ascii="宋体"/>
                <w:sz w:val="8"/>
              </w:rPr>
            </w:pPr>
          </w:p>
        </w:tc>
        <w:tc>
          <w:tcPr>
            <w:tcW w:w="947" w:type="dxa"/>
          </w:tcPr>
          <w:p>
            <w:pPr>
              <w:pStyle w:val="TableParagraph"/>
              <w:rPr>
                <w:rFonts w:hAnsi="宋体" w:eastAsia="宋体" w:ascii="宋体"/>
                <w:sz w:val="8"/>
              </w:rPr>
            </w:pPr>
          </w:p>
        </w:tc>
        <w:tc>
          <w:tcPr>
            <w:tcW w:w="119" w:type="dxa"/>
          </w:tcPr>
          <w:p>
            <w:pPr>
              <w:pStyle w:val="TableParagraph"/>
              <w:rPr>
                <w:rFonts w:hAnsi="宋体" w:eastAsia="宋体" w:ascii="宋体"/>
                <w:sz w:val="8"/>
              </w:rPr>
            </w:pPr>
          </w:p>
        </w:tc>
      </w:tr>
      <w:tr>
        <w:trPr>
          <w:trHeight w:val="277" w:hRule="atLeast"/>
        </w:trPr>
        <w:tc>
          <w:tcPr>
            <w:tcW w:w="3138" w:type="dxa"/>
            <w:gridSpan w:val="2"/>
          </w:tcPr>
          <w:p>
            <w:pPr>
              <w:pStyle w:val="TableParagraph"/>
              <w:spacing w:before="17"/>
              <w:ind w:left="119"/>
              <w:rPr>
                <w:rFonts w:hAnsi="宋体" w:eastAsia="宋体" w:ascii="宋体"/>
                <w:sz w:val="12"/>
              </w:rPr>
            </w:pPr>
            <w:r>
              <w:rPr>
                <w:rFonts w:hAnsi="宋体" w:eastAsia="宋体" w:ascii="宋体"/>
                <w:color w:val="231F20"/>
                <w:sz w:val="12"/>
              </w:rPr>
              <w:t>用于LCR和聚合酶链反应的寡核苷酸组装</w:t>
            </w:r>
          </w:p>
        </w:tc>
        <w:tc>
          <w:tcPr>
            <w:tcW w:w="1698" w:type="dxa"/>
            <w:gridSpan w:val="2"/>
          </w:tcPr>
          <w:p>
            <w:pPr>
              <w:pStyle w:val="TableParagraph"/>
              <w:spacing w:before="23"/>
              <w:ind w:left="269"/>
              <w:rPr>
                <w:rFonts w:hAnsi="宋体" w:eastAsia="宋体" w:ascii="宋体"/>
                <w:sz w:val="12"/>
              </w:rPr>
            </w:pPr>
            <w:r>
              <w:rPr>
                <w:rFonts w:hAnsi="宋体" w:eastAsia="宋体" w:ascii="宋体"/>
                <w:color w:val="231F20"/>
                <w:w w:val="180"/>
                <w:sz w:val="12"/>
              </w:rPr>
              <w:t>−</w:t>
            </w:r>
          </w:p>
        </w:tc>
        <w:tc>
          <w:tcPr>
            <w:tcW w:w="1826" w:type="dxa"/>
            <w:gridSpan w:val="2"/>
          </w:tcPr>
          <w:p>
            <w:pPr>
              <w:pStyle w:val="TableParagraph"/>
              <w:spacing w:before="23"/>
              <w:ind w:left="270"/>
              <w:rPr>
                <w:rFonts w:hAnsi="宋体" w:eastAsia="宋体" w:ascii="宋体"/>
                <w:sz w:val="12"/>
              </w:rPr>
            </w:pPr>
            <w:r>
              <w:rPr>
                <w:rFonts w:hAnsi="宋体" w:eastAsia="宋体" w:ascii="宋体"/>
                <w:color w:val="231F20"/>
                <w:w w:val="180"/>
                <w:sz w:val="12"/>
              </w:rPr>
              <w:t>−</w:t>
            </w:r>
          </w:p>
        </w:tc>
        <w:tc>
          <w:tcPr>
            <w:tcW w:w="891" w:type="dxa"/>
            <w:gridSpan w:val="2"/>
          </w:tcPr>
          <w:p>
            <w:pPr>
              <w:pStyle w:val="TableParagraph"/>
              <w:spacing w:before="23"/>
              <w:ind w:left="272"/>
              <w:rPr>
                <w:rFonts w:hAnsi="宋体" w:eastAsia="宋体" w:ascii="宋体"/>
                <w:sz w:val="12"/>
              </w:rPr>
            </w:pPr>
            <w:r>
              <w:rPr>
                <w:rFonts w:hAnsi="宋体" w:eastAsia="宋体" w:ascii="宋体"/>
                <w:color w:val="231F20"/>
                <w:w w:val="180"/>
                <w:sz w:val="12"/>
              </w:rPr>
              <w:t>−</w:t>
            </w:r>
          </w:p>
        </w:tc>
        <w:tc>
          <w:tcPr>
            <w:tcW w:w="1485" w:type="dxa"/>
            <w:gridSpan w:val="2"/>
          </w:tcPr>
          <w:p>
            <w:pPr>
              <w:pStyle w:val="TableParagraph"/>
              <w:spacing w:before="23"/>
              <w:ind w:left="274"/>
              <w:rPr>
                <w:rFonts w:hAnsi="宋体" w:eastAsia="宋体" w:ascii="宋体"/>
                <w:sz w:val="12"/>
              </w:rPr>
            </w:pPr>
            <w:r>
              <w:rPr>
                <w:rFonts w:hAnsi="宋体" w:eastAsia="宋体" w:ascii="宋体"/>
                <w:color w:val="231F20"/>
                <w:w w:val="180"/>
                <w:sz w:val="12"/>
              </w:rPr>
              <w:t>−</w:t>
            </w:r>
          </w:p>
        </w:tc>
        <w:tc>
          <w:tcPr>
            <w:tcW w:w="1334" w:type="dxa"/>
            <w:gridSpan w:val="3"/>
          </w:tcPr>
          <w:p>
            <w:pPr>
              <w:pStyle w:val="TableParagraph"/>
              <w:spacing w:before="17"/>
              <w:ind w:left="275"/>
              <w:rPr>
                <w:rFonts w:hAnsi="宋体" w:eastAsia="宋体" w:ascii="宋体"/>
                <w:sz w:val="12"/>
              </w:rPr>
            </w:pPr>
            <w:r>
              <w:rPr>
                <w:rFonts w:hAnsi="宋体" w:eastAsia="宋体" w:ascii="宋体"/>
                <w:color w:val="231F20"/>
                <w:w w:val="168"/>
                <w:sz w:val="12"/>
              </w:rPr>
              <w:t>+</w:t>
            </w:r>
          </w:p>
        </w:tc>
      </w:tr>
      <w:tr>
        <w:trPr>
          <w:trHeight w:val="244" w:hRule="atLeast"/>
        </w:trPr>
        <w:tc>
          <w:tcPr>
            <w:tcW w:w="3138" w:type="dxa"/>
            <w:gridSpan w:val="2"/>
          </w:tcPr>
          <w:p>
            <w:pPr>
              <w:pStyle w:val="TableParagraph"/>
              <w:spacing w:line="137" w:lineRule="exact" w:before="87"/>
              <w:ind w:left="119"/>
              <w:rPr>
                <w:rFonts w:hAnsi="宋体" w:eastAsia="宋体" w:ascii="宋体"/>
                <w:sz w:val="12"/>
              </w:rPr>
            </w:pPr>
            <w:r>
              <w:rPr>
                <w:rFonts w:hAnsi="宋体" w:eastAsia="宋体" w:ascii="宋体"/>
                <w:color w:val="231F20"/>
                <w:w w:val="105"/>
                <w:sz w:val="12"/>
              </w:rPr>
              <w:t>提供图形网络界面</w:t>
            </w:r>
          </w:p>
        </w:tc>
        <w:tc>
          <w:tcPr>
            <w:tcW w:w="1698" w:type="dxa"/>
            <w:gridSpan w:val="2"/>
          </w:tcPr>
          <w:p>
            <w:pPr>
              <w:pStyle w:val="TableParagraph"/>
              <w:spacing w:line="137" w:lineRule="exact" w:before="87"/>
              <w:ind w:left="269"/>
              <w:rPr>
                <w:rFonts w:hAnsi="宋体" w:eastAsia="宋体" w:ascii="宋体"/>
                <w:sz w:val="12"/>
              </w:rPr>
            </w:pPr>
            <w:r>
              <w:rPr>
                <w:rFonts w:hAnsi="宋体" w:eastAsia="宋体" w:ascii="宋体"/>
                <w:color w:val="231F20"/>
                <w:w w:val="168"/>
                <w:sz w:val="12"/>
              </w:rPr>
              <w:t>+</w:t>
            </w:r>
          </w:p>
        </w:tc>
        <w:tc>
          <w:tcPr>
            <w:tcW w:w="1826" w:type="dxa"/>
            <w:gridSpan w:val="2"/>
          </w:tcPr>
          <w:p>
            <w:pPr>
              <w:pStyle w:val="TableParagraph"/>
              <w:spacing w:line="137" w:lineRule="exact" w:before="87"/>
              <w:ind w:left="270"/>
              <w:rPr>
                <w:rFonts w:hAnsi="宋体" w:eastAsia="宋体" w:ascii="宋体"/>
                <w:sz w:val="12"/>
              </w:rPr>
            </w:pPr>
            <w:r>
              <w:rPr>
                <w:rFonts w:hAnsi="宋体" w:eastAsia="宋体" w:ascii="宋体"/>
                <w:color w:val="231F20"/>
                <w:w w:val="168"/>
                <w:sz w:val="12"/>
              </w:rPr>
              <w:t>+</w:t>
            </w:r>
          </w:p>
        </w:tc>
        <w:tc>
          <w:tcPr>
            <w:tcW w:w="891" w:type="dxa"/>
            <w:gridSpan w:val="2"/>
          </w:tcPr>
          <w:p>
            <w:pPr>
              <w:pStyle w:val="TableParagraph"/>
              <w:spacing w:line="137" w:lineRule="exact" w:before="87"/>
              <w:ind w:left="272"/>
              <w:rPr>
                <w:rFonts w:hAnsi="宋体" w:eastAsia="宋体" w:ascii="宋体"/>
                <w:sz w:val="12"/>
              </w:rPr>
            </w:pPr>
            <w:r>
              <w:rPr>
                <w:rFonts w:hAnsi="宋体" w:eastAsia="宋体" w:ascii="宋体"/>
                <w:color w:val="231F20"/>
                <w:w w:val="168"/>
                <w:sz w:val="12"/>
              </w:rPr>
              <w:t>+</w:t>
            </w:r>
          </w:p>
        </w:tc>
        <w:tc>
          <w:tcPr>
            <w:tcW w:w="1485" w:type="dxa"/>
            <w:gridSpan w:val="2"/>
          </w:tcPr>
          <w:p>
            <w:pPr>
              <w:pStyle w:val="TableParagraph"/>
              <w:spacing w:line="137" w:lineRule="exact" w:before="87"/>
              <w:ind w:left="274"/>
              <w:rPr>
                <w:rFonts w:hAnsi="宋体" w:eastAsia="宋体" w:ascii="宋体"/>
                <w:sz w:val="12"/>
              </w:rPr>
            </w:pPr>
            <w:r>
              <w:rPr>
                <w:rFonts w:hAnsi="宋体" w:eastAsia="宋体" w:ascii="宋体"/>
                <w:color w:val="231F20"/>
                <w:w w:val="168"/>
                <w:sz w:val="12"/>
              </w:rPr>
              <w:t>+</w:t>
            </w:r>
          </w:p>
        </w:tc>
        <w:tc>
          <w:tcPr>
            <w:tcW w:w="1334" w:type="dxa"/>
            <w:gridSpan w:val="3"/>
          </w:tcPr>
          <w:p>
            <w:pPr>
              <w:pStyle w:val="TableParagraph"/>
              <w:spacing w:line="137" w:lineRule="exact" w:before="87"/>
              <w:ind w:left="275"/>
              <w:rPr>
                <w:rFonts w:hAnsi="宋体" w:eastAsia="宋体" w:ascii="宋体"/>
                <w:sz w:val="12"/>
              </w:rPr>
            </w:pPr>
            <w:r>
              <w:rPr>
                <w:rFonts w:hAnsi="宋体" w:eastAsia="宋体" w:ascii="宋体"/>
                <w:color w:val="231F20"/>
                <w:w w:val="168"/>
                <w:sz w:val="12"/>
              </w:rPr>
              <w:t>+</w:t>
            </w:r>
          </w:p>
        </w:tc>
      </w:tr>
      <w:tr>
        <w:trPr>
          <w:trHeight w:val="209" w:hRule="atLeast"/>
        </w:trPr>
        <w:tc>
          <w:tcPr>
            <w:tcW w:w="3138" w:type="dxa"/>
            <w:gridSpan w:val="2"/>
            <w:tcBorders>
              <w:bottom w:val="single" w:sz="6" w:space="0" w:color="231F20"/>
            </w:tcBorders>
          </w:tcPr>
          <w:p>
            <w:pPr>
              <w:pStyle w:val="TableParagraph"/>
              <w:spacing w:before="13"/>
              <w:ind w:left="119"/>
              <w:rPr>
                <w:rFonts w:hAnsi="宋体" w:eastAsia="宋体" w:ascii="宋体"/>
                <w:sz w:val="12"/>
              </w:rPr>
            </w:pPr>
            <w:r>
              <w:rPr>
                <w:rFonts w:hAnsi="宋体" w:eastAsia="宋体" w:ascii="宋体"/>
                <w:color w:val="231F20"/>
                <w:w w:val="105"/>
                <w:sz w:val="12"/>
              </w:rPr>
              <w:t>实验室验证的底漆设计参数</w:t>
            </w:r>
          </w:p>
        </w:tc>
        <w:tc>
          <w:tcPr>
            <w:tcW w:w="1698" w:type="dxa"/>
            <w:gridSpan w:val="2"/>
            <w:tcBorders>
              <w:bottom w:val="single" w:sz="6" w:space="0" w:color="231F20"/>
            </w:tcBorders>
          </w:tcPr>
          <w:p>
            <w:pPr>
              <w:pStyle w:val="TableParagraph"/>
              <w:spacing w:before="13"/>
              <w:ind w:left="269"/>
              <w:rPr>
                <w:rFonts w:hAnsi="宋体" w:eastAsia="宋体" w:ascii="宋体"/>
                <w:sz w:val="12"/>
              </w:rPr>
            </w:pPr>
            <w:r>
              <w:rPr>
                <w:rFonts w:hAnsi="宋体" w:eastAsia="宋体" w:ascii="宋体"/>
                <w:color w:val="231F20"/>
                <w:w w:val="168"/>
                <w:sz w:val="12"/>
              </w:rPr>
              <w:t>+</w:t>
            </w:r>
          </w:p>
        </w:tc>
        <w:tc>
          <w:tcPr>
            <w:tcW w:w="1826" w:type="dxa"/>
            <w:gridSpan w:val="2"/>
            <w:tcBorders>
              <w:bottom w:val="single" w:sz="6" w:space="0" w:color="231F20"/>
            </w:tcBorders>
          </w:tcPr>
          <w:p>
            <w:pPr>
              <w:pStyle w:val="TableParagraph"/>
              <w:spacing w:before="13"/>
              <w:ind w:left="270"/>
              <w:rPr>
                <w:rFonts w:hAnsi="宋体" w:eastAsia="宋体" w:ascii="宋体"/>
                <w:sz w:val="12"/>
              </w:rPr>
            </w:pPr>
            <w:r>
              <w:rPr>
                <w:rFonts w:hAnsi="宋体" w:eastAsia="宋体" w:ascii="宋体"/>
                <w:color w:val="231F20"/>
                <w:w w:val="168"/>
                <w:sz w:val="12"/>
              </w:rPr>
              <w:t>+</w:t>
            </w:r>
          </w:p>
        </w:tc>
        <w:tc>
          <w:tcPr>
            <w:tcW w:w="891" w:type="dxa"/>
            <w:gridSpan w:val="2"/>
            <w:tcBorders>
              <w:bottom w:val="single" w:sz="6" w:space="0" w:color="231F20"/>
            </w:tcBorders>
          </w:tcPr>
          <w:p>
            <w:pPr>
              <w:pStyle w:val="TableParagraph"/>
              <w:spacing w:before="13"/>
              <w:ind w:left="272"/>
              <w:rPr>
                <w:rFonts w:hAnsi="宋体" w:eastAsia="宋体" w:ascii="宋体"/>
                <w:sz w:val="12"/>
              </w:rPr>
            </w:pPr>
            <w:r>
              <w:rPr>
                <w:rFonts w:hAnsi="宋体" w:eastAsia="宋体" w:ascii="宋体"/>
                <w:color w:val="231F20"/>
                <w:w w:val="168"/>
                <w:sz w:val="12"/>
              </w:rPr>
              <w:t>+</w:t>
            </w:r>
          </w:p>
        </w:tc>
        <w:tc>
          <w:tcPr>
            <w:tcW w:w="1485" w:type="dxa"/>
            <w:gridSpan w:val="2"/>
            <w:tcBorders>
              <w:bottom w:val="single" w:sz="6" w:space="0" w:color="231F20"/>
            </w:tcBorders>
          </w:tcPr>
          <w:p>
            <w:pPr>
              <w:pStyle w:val="TableParagraph"/>
              <w:spacing w:before="13"/>
              <w:ind w:left="274"/>
              <w:rPr>
                <w:rFonts w:hAnsi="宋体" w:eastAsia="宋体" w:ascii="宋体"/>
                <w:sz w:val="12"/>
              </w:rPr>
            </w:pPr>
            <w:r>
              <w:rPr>
                <w:rFonts w:hAnsi="宋体" w:eastAsia="宋体" w:ascii="宋体"/>
                <w:color w:val="231F20"/>
                <w:w w:val="168"/>
                <w:sz w:val="12"/>
              </w:rPr>
              <w:t>+</w:t>
            </w:r>
          </w:p>
        </w:tc>
        <w:tc>
          <w:tcPr>
            <w:tcW w:w="1334" w:type="dxa"/>
            <w:gridSpan w:val="3"/>
            <w:tcBorders>
              <w:bottom w:val="single" w:sz="6" w:space="0" w:color="231F20"/>
            </w:tcBorders>
          </w:tcPr>
          <w:p>
            <w:pPr>
              <w:pStyle w:val="TableParagraph"/>
              <w:spacing w:before="13"/>
              <w:ind w:left="275"/>
              <w:rPr>
                <w:rFonts w:hAnsi="宋体" w:eastAsia="宋体" w:ascii="宋体"/>
                <w:sz w:val="12"/>
              </w:rPr>
            </w:pPr>
            <w:r>
              <w:rPr>
                <w:rFonts w:hAnsi="宋体" w:eastAsia="宋体" w:ascii="宋体"/>
                <w:color w:val="231F20"/>
                <w:w w:val="168"/>
                <w:sz w:val="12"/>
              </w:rPr>
              <w:t>+</w:t>
            </w:r>
          </w:p>
        </w:tc>
      </w:tr>
    </w:tbl>
    <w:p>
      <w:pPr>
        <w:spacing w:before="60"/>
        <w:ind w:left="114" w:right="0" w:firstLine="0"/>
        <w:jc w:val="left"/>
        <w:rPr>
          <w:rFonts w:hAnsi="宋体" w:eastAsia="宋体" w:ascii="宋体"/>
          <w:sz w:val="12"/>
        </w:rPr>
      </w:pPr>
      <w:r>
        <w:rPr>
          <w:rFonts w:hAnsi="宋体" w:eastAsia="宋体" w:ascii="宋体"/>
          <w:color w:val="231F20"/>
          <w:w w:val="110"/>
          <w:sz w:val="12"/>
        </w:rPr>
        <w:t>支持+功能，不支持-功能。</w:t>
      </w:r>
    </w:p>
    <w:p>
      <w:pPr>
        <w:pStyle w:val="BodyText"/>
        <w:spacing w:before="6"/>
        <w:rPr>
          <w:rFonts w:hAnsi="宋体" w:eastAsia="宋体" w:ascii="宋体"/>
          <w:sz w:val="25"/>
        </w:rPr>
      </w:pPr>
    </w:p>
    <w:p>
      <w:pPr>
        <w:spacing w:after="0"/>
        <w:rPr>
          <w:rFonts w:hAnsi="宋体" w:eastAsia="宋体" w:ascii="宋体"/>
          <w:sz w:val="25"/>
        </w:rPr>
        <w:sectPr>
          <w:pgSz w:w="11910" w:h="15880"/>
          <w:pgMar w:header="688" w:footer="0" w:top="880" w:bottom="280" w:left="560" w:right="560"/>
        </w:sectPr>
      </w:pPr>
    </w:p>
    <w:p>
      <w:pPr>
        <w:pStyle w:val="BodyText"/>
        <w:spacing w:line="261" w:lineRule="auto" w:before="100"/>
        <w:ind w:left="114" w:right="46"/>
        <w:jc w:val="both"/>
      </w:pPr>
      <w:r>
        <w:rPr>
          <w:rFonts w:hAnsi="宋体" w:eastAsia="宋体" w:ascii="宋体"/>
          <w:color w:val="231F20"/>
        </w:rPr>
        <w:t>侧翼用于设计相容的正向和反向引物，以便通过PCR进行扩增。</w:t>
      </w:r>
    </w:p>
    <w:p>
      <w:pPr>
        <w:pStyle w:val="BodyText"/>
        <w:spacing w:line="261" w:lineRule="auto"/>
        <w:ind w:left="114" w:right="40" w:firstLine="239"/>
        <w:jc w:val="both"/>
      </w:pPr>
      <w:r>
        <w:rPr>
          <w:rFonts w:hAnsi="宋体" w:eastAsia="宋体" w:ascii="宋体"/>
          <w:color w:val="231F20"/>
          <w:spacing w:val="-1"/>
          <w:w w:val="95"/>
        </w:rPr>
        <w:t>jPCR识别每个进入序列中的所有SSR，并为每个SSR位点设计相容的聚合酶链反应引物对。默认的聚合酶链反应引物设计参数是引物必须在鉴定的SSR两侧100个碱基以内。通常，SSR位点周围可用的序列不足以设计好的引物，用户可以增加或减少与任一侧的距离，以找到更有效和相容的引物对。全球许多实验室已经成功实施了jPCR计划，为SSR位点设计聚合酶链反应引物；一些最终的文章显示在我们的FastPCR网页上[</w:t>
      </w:r>
      <w:hyperlink r:id="rId22">
        <w:r>
          <w:rPr>
            <w:rFonts w:hAnsi="宋体" w:eastAsia="宋体" w:ascii="宋体"/>
            <w:color w:val="2E3092"/>
          </w:rPr>
          <w:t>http://primerdigital.com/fastpcr/citations.html</w:t>
        </w:r>
      </w:hyperlink>
      <w:r>
        <w:rPr>
          <w:rFonts w:hAnsi="宋体" w:eastAsia="宋体" w:ascii="宋体"/>
          <w:color w:val="231F20"/>
        </w:rPr>
        <w:t>].jPCR的能力使其成为一个完整的生物信息学工具，可以将微卫星用作标记，从发现到引物设计。</w:t>
      </w:r>
    </w:p>
    <w:p>
      <w:pPr>
        <w:pStyle w:val="BodyText"/>
        <w:spacing w:before="4"/>
        <w:rPr>
          <w:rFonts w:hAnsi="宋体" w:eastAsia="宋体" w:ascii="宋体"/>
          <w:sz w:val="17"/>
        </w:rPr>
      </w:pPr>
    </w:p>
    <w:p>
      <w:pPr>
        <w:pStyle w:val="ListParagraph"/>
        <w:numPr>
          <w:ilvl w:val="1"/>
          <w:numId w:val="1"/>
        </w:numPr>
        <w:tabs>
          <w:tab w:pos="501" w:val="left" w:leader="none"/>
        </w:tabs>
        <w:spacing w:line="240" w:lineRule="auto" w:before="0" w:after="0"/>
        <w:ind w:left="500" w:right="0" w:hanging="387"/>
        <w:jc w:val="left"/>
        <w:rPr>
          <w:rFonts w:hAnsi="宋体" w:eastAsia="宋体" w:ascii="宋体"/>
          <w:i/>
          <w:sz w:val="16"/>
        </w:rPr>
      </w:pPr>
      <w:bookmarkStart w:name="2.15. Comparison with other software" w:id="35"/>
      <w:bookmarkEnd w:id="35"/>
      <w:r>
        <w:rPr>
          <w:rFonts w:hAnsi="宋体" w:eastAsia="宋体" w:ascii="宋体"/>
        </w:rPr>
      </w:r>
      <w:bookmarkStart w:name="2.15. Comparison with other software" w:id="36"/>
      <w:bookmarkEnd w:id="36"/>
      <w:r>
        <w:rPr>
          <w:rFonts w:hAnsi="宋体" w:eastAsia="宋体" w:ascii="宋体"/>
          <w:i/>
          <w:color w:val="231F20"/>
          <w:w w:val="105"/>
          <w:sz w:val="16"/>
        </w:rPr>
        <w:t>与其他软件的比较</w:t>
      </w:r>
    </w:p>
    <w:p>
      <w:pPr>
        <w:pStyle w:val="BodyText"/>
        <w:spacing w:before="2"/>
        <w:rPr>
          <w:rFonts w:hAnsi="宋体" w:eastAsia="宋体" w:ascii="宋体"/>
          <w:i/>
          <w:sz w:val="19"/>
        </w:rPr>
      </w:pPr>
    </w:p>
    <w:p>
      <w:pPr>
        <w:pStyle w:val="BodyText"/>
        <w:spacing w:line="261" w:lineRule="auto"/>
        <w:ind w:left="114" w:right="38" w:firstLine="239"/>
        <w:jc w:val="both"/>
      </w:pPr>
      <w:r>
        <w:rPr>
          <w:rFonts w:hAnsi="宋体" w:eastAsia="宋体" w:ascii="宋体"/>
          <w:color w:val="231F20"/>
          <w:w w:val="95"/>
        </w:rPr>
        <w:t>Primer3及其衍生应用，如NCBI/Primer-BLAST [</w:t>
      </w:r>
      <w:hyperlink r:id="rId23">
        <w:r>
          <w:rPr>
            <w:rFonts w:hAnsi="宋体" w:eastAsia="宋体" w:ascii="宋体"/>
            <w:color w:val="2E3092"/>
          </w:rPr>
          <w:t>http://www.ncbi.nlm.nih.gov/tools/primer-blast/</w:t>
        </w:r>
      </w:hyperlink>
      <w:r>
        <w:rPr>
          <w:rFonts w:hAnsi="宋体" w:eastAsia="宋体" w:ascii="宋体"/>
          <w:color w:val="231F20"/>
        </w:rPr>
        <w:t>]，IDT科学工具[</w:t>
      </w:r>
      <w:hyperlink r:id="rId24">
        <w:r>
          <w:rPr>
            <w:rFonts w:hAnsi="宋体" w:eastAsia="宋体" w:ascii="宋体"/>
            <w:color w:val="2E3092"/>
            <w:spacing w:val="-3"/>
          </w:rPr>
          <w:t>http://eu.idtdna.com/scitools/</w:t>
        </w:r>
      </w:hyperlink>
      <w:r>
        <w:rPr>
          <w:rFonts w:hAnsi="宋体" w:eastAsia="宋体" w:ascii="宋体"/>
          <w:color w:val="231F20"/>
          <w:spacing w:val="-3"/>
        </w:rPr>
        <w:t>，5]，BiSearch web服务器[</w:t>
      </w:r>
      <w:hyperlink r:id="rId25">
        <w:r>
          <w:rPr>
            <w:rFonts w:hAnsi="宋体" w:eastAsia="宋体" w:ascii="宋体"/>
            <w:color w:val="2E3092"/>
            <w:spacing w:val="-3"/>
          </w:rPr>
          <w:t>http://bisearch.</w:t>
        </w:r>
      </w:hyperlink>
      <w:r>
        <w:rPr>
          <w:rFonts w:hAnsi="宋体" w:eastAsia="宋体" w:ascii="宋体"/>
          <w:color w:val="231F20"/>
          <w:spacing w:val="-42"/>
        </w:rPr>
        <w:t/>
      </w:r>
      <w:hyperlink r:id="rId25">
        <w:r>
          <w:rPr>
            <w:rFonts w:hAnsi="宋体" w:eastAsia="宋体" w:ascii="宋体"/>
            <w:color w:val="2E3092"/>
            <w:spacing w:val="-4"/>
          </w:rPr>
          <w:t>enzim.hu/</w:t>
        </w:r>
      </w:hyperlink>
      <w:r>
        <w:rPr>
          <w:rFonts w:hAnsi="宋体" w:eastAsia="宋体" w:ascii="宋体"/>
          <w:color w:val="231F20"/>
          <w:spacing w:val="-4"/>
        </w:rPr>
        <w:t>，10]，Primo Pro 3.4 [</w:t>
      </w:r>
      <w:hyperlink r:id="rId26">
        <w:r>
          <w:rPr>
            <w:rFonts w:hAnsi="宋体" w:eastAsia="宋体" w:ascii="宋体"/>
            <w:color w:val="2E3092"/>
            <w:spacing w:val="-3"/>
          </w:rPr>
          <w:t>http://www.changbioscience.com/primo/</w:t>
        </w:r>
      </w:hyperlink>
      <w:r>
        <w:rPr>
          <w:rFonts w:hAnsi="宋体" w:eastAsia="宋体" w:ascii="宋体"/>
          <w:color w:val="231F20"/>
          <w:spacing w:val="-3"/>
        </w:rPr>
        <w:t>]和PerlPrimer [</w:t>
      </w:r>
      <w:hyperlink r:id="rId27">
        <w:r>
          <w:rPr>
            <w:rFonts w:hAnsi="宋体" w:eastAsia="宋体" w:ascii="宋体"/>
            <w:color w:val="2E3092"/>
            <w:spacing w:val="-3"/>
          </w:rPr>
          <w:t>http://perlprimer.sourceforge.net/</w:t>
        </w:r>
      </w:hyperlink>
      <w:r>
        <w:rPr>
          <w:rFonts w:hAnsi="宋体" w:eastAsia="宋体" w:ascii="宋体"/>
          <w:color w:val="231F20"/>
          <w:spacing w:val="-3"/>
        </w:rPr>
        <w:t>，4]是最常用的基于web的应用程序。</w:t>
      </w:r>
      <w:hyperlink w:history="true" w:anchor="_bookmark12">
        <w:r>
          <w:rPr>
            <w:rFonts w:hAnsi="宋体" w:eastAsia="宋体" w:ascii="宋体"/>
            <w:color w:val="2E3092"/>
            <w:spacing w:val="-4"/>
          </w:rPr>
          <w:t>Table 3 </w:t>
        </w:r>
      </w:hyperlink>
      <w:r>
        <w:rPr>
          <w:rFonts w:hAnsi="宋体" w:eastAsia="宋体" w:ascii="宋体"/>
          <w:color w:val="231F20"/>
          <w:spacing w:val="-3"/>
        </w:rPr>
        <w:t>我们的网页[</w:t>
      </w:r>
      <w:hyperlink r:id="rId20">
        <w:r>
          <w:rPr>
            <w:rFonts w:hAnsi="宋体" w:eastAsia="宋体" w:ascii="宋体"/>
            <w:color w:val="2E3092"/>
            <w:spacing w:val="-2"/>
          </w:rPr>
          <w:t>http://primerdigital.com/tools/soft.html</w:t>
        </w:r>
      </w:hyperlink>
      <w:r>
        <w:rPr>
          <w:rFonts w:hAnsi="宋体" w:eastAsia="宋体" w:ascii="宋体"/>
          <w:color w:val="231F20"/>
          <w:spacing w:val="-2"/>
        </w:rPr>
        <w:t>]将我们的引物设计和寡核苷酸分析软件的特性与这些程序进行比较。例如，我们研究了在给定序列中进行非特异性扩增分析的能力。的测试结果</w:t>
      </w:r>
    </w:p>
    <w:p>
      <w:pPr>
        <w:pStyle w:val="BodyText"/>
        <w:spacing w:line="261" w:lineRule="auto" w:before="100"/>
        <w:ind w:left="114" w:right="291"/>
        <w:jc w:val="both"/>
      </w:pPr>
      <w:r>
        <w:rPr>
          <w:rFonts w:hAnsi="宋体" w:eastAsia="宋体" w:ascii="宋体"/>
        </w:rPr>
        <w:br w:type="column"/>
      </w:r>
      <w:r>
        <w:rPr>
          <w:rFonts w:hAnsi="宋体" w:eastAsia="宋体" w:ascii="宋体"/>
          <w:color w:val="231F20"/>
          <w:spacing w:val="-4"/>
          <w:w w:val="95"/>
        </w:rPr>
        <w:t>NCBI/Primer-BLAST和BiSearch网络服务器可作为补充材料(S2)；一般来说，其他工具不考虑序列内部的重复区域，可以在其中设计引物或探针，这可能导致非特异性扩增(S2)。</w:t>
      </w:r>
    </w:p>
    <w:p>
      <w:pPr>
        <w:pStyle w:val="BodyText"/>
        <w:spacing w:line="261" w:lineRule="auto"/>
        <w:ind w:left="114" w:right="286" w:firstLine="239"/>
        <w:jc w:val="both"/>
      </w:pPr>
      <w:r>
        <w:rPr>
          <w:rFonts w:hAnsi="宋体" w:eastAsia="宋体" w:ascii="宋体"/>
          <w:color w:val="231F20"/>
          <w:w w:val="95"/>
        </w:rPr>
        <w:t>NCBI/Primer-BLAST为高CG含量(含65-70% CG)序列设计的引物在3’端的12个碱基末端有90-100% CG。双搜索网络服务器和IDT PrimerQuest在默认条件下正确设计了CG含量为50%的引物。我们发现引物扩增效率不仅取决于引物的Tm及其3’端序列，还取决于其语言复杂性。对于一个好的引物，语言复杂度值必须超过80%，最好的引物必须超过90%。BiSearch网络服务器引物的语言复杂度平均值为79.1±10.2%(测试了525个引物)；对于NCBI/引物-BLAST，82.4±7.1%(2000个引物)；对于IDT总理来说，</w:t>
      </w:r>
    </w:p>
    <w:p>
      <w:pPr>
        <w:pStyle w:val="BodyText"/>
        <w:spacing w:line="261" w:lineRule="auto"/>
        <w:ind w:left="114" w:right="287"/>
        <w:jc w:val="both"/>
      </w:pPr>
      <w:r>
        <w:rPr>
          <w:rFonts w:hAnsi="宋体" w:eastAsia="宋体" w:ascii="宋体"/>
          <w:color w:val="231F20"/>
          <w:spacing w:val="-2"/>
        </w:rPr>
        <w:t>88.2±7.4%(407个引物)；对于我们的jPCR，88.6±4.8%(2000个引物)。例如，用NCBI/Primer-BLAST和BiSearch web服务器设计的引物5’tttttttttttttgggggggggag 3’(LC = 38%)、聚嘌呤5’ggagagagagagagaag 3’(LC = 33%)和聚嘧啶5’ctcttctctctccttctcc 3’(LC = 40%)存在形成稳定四链结构的风险。</w:t>
      </w:r>
    </w:p>
    <w:p>
      <w:pPr>
        <w:pStyle w:val="BodyText"/>
        <w:spacing w:line="261" w:lineRule="auto"/>
        <w:ind w:left="114" w:right="286" w:firstLine="239"/>
        <w:jc w:val="both"/>
      </w:pPr>
      <w:r>
        <w:rPr>
          <w:rFonts w:hAnsi="宋体" w:eastAsia="宋体" w:ascii="宋体"/>
          <w:color w:val="231F20"/>
        </w:rPr>
        <w:t>为了比较二聚体检测的效率，我们为拟南芥叶绿体DNA设计了2000个引物(1–50，000个碱基；AP000423)。使用NCBI/引物-BLAST，我们发现105个引物形成不可接受的自身二聚体，如一些实施例所示(S3)。BiSearch web服务器是最慢的基于web的软件(默认条件下，5 kb的100个引物对需要10分钟)，但它设计的引物没有3’端二聚体，只有一个含有弱内部</w:t>
      </w:r>
    </w:p>
    <w:p>
      <w:pPr>
        <w:spacing w:after="0" w:line="261" w:lineRule="auto"/>
        <w:jc w:val="both"/>
        <w:sectPr>
          <w:type w:val="continuous"/>
          <w:pgSz w:w="11910" w:h="15880"/>
          <w:pgMar w:header="688" w:footer="0" w:top="640" w:bottom="280" w:left="560" w:right="560"/>
          <w:cols w:num="2" w:equalWidth="0">
            <w:col w:w="5181" w:space="179"/>
            <w:col w:w="5430"/>
          </w:cols>
        </w:sectPr>
      </w:pPr>
    </w:p>
    <w:p>
      <w:pPr>
        <w:pStyle w:val="BodyText"/>
        <w:spacing w:before="9"/>
        <w:rPr>
          <w:rFonts w:hAnsi="宋体" w:eastAsia="宋体" w:ascii="宋体"/>
          <w:sz w:val="10"/>
        </w:rPr>
      </w:pPr>
    </w:p>
    <w:p>
      <w:pPr>
        <w:spacing w:after="0"/>
        <w:rPr>
          <w:rFonts w:hAnsi="宋体" w:eastAsia="宋体" w:ascii="宋体"/>
          <w:sz w:val="10"/>
        </w:rPr>
        <w:sectPr>
          <w:pgSz w:w="11910" w:h="15880"/>
          <w:pgMar w:header="688" w:footer="0" w:top="880" w:bottom="280" w:left="560" w:right="560"/>
        </w:sectPr>
      </w:pPr>
    </w:p>
    <w:p>
      <w:pPr>
        <w:pStyle w:val="BodyText"/>
        <w:spacing w:line="261" w:lineRule="auto" w:before="98"/>
        <w:ind w:left="290"/>
        <w:jc w:val="both"/>
      </w:pPr>
      <w:bookmarkStart w:name="3. Discussion" w:id="37"/>
      <w:bookmarkEnd w:id="37"/>
      <w:r>
        <w:rPr>
          <w:rFonts w:hAnsi="宋体" w:eastAsia="宋体" w:ascii="宋体"/>
        </w:rPr>
      </w:r>
      <w:r>
        <w:rPr>
          <w:rFonts w:hAnsi="宋体" w:eastAsia="宋体" w:ascii="宋体"/>
          <w:color w:val="231F20"/>
        </w:rPr>
        <w:t>自二聚体。用IDT引物对(S3)设计的引物发现了几个内部自二聚体(21)和两个弱的3’端二聚体。来自IDT引物组的引物显示出良好的语言复杂性和引物质量值。</w:t>
      </w:r>
    </w:p>
    <w:p>
      <w:pPr>
        <w:pStyle w:val="BodyText"/>
        <w:spacing w:before="4"/>
        <w:rPr>
          <w:rFonts w:hAnsi="宋体" w:eastAsia="宋体" w:ascii="宋体"/>
          <w:sz w:val="17"/>
        </w:rPr>
      </w:pPr>
    </w:p>
    <w:p>
      <w:pPr>
        <w:pStyle w:val="ListParagraph"/>
        <w:numPr>
          <w:ilvl w:val="0"/>
          <w:numId w:val="1"/>
        </w:numPr>
        <w:tabs>
          <w:tab w:pos="475" w:val="left" w:leader="none"/>
        </w:tabs>
        <w:spacing w:line="240" w:lineRule="auto" w:before="0" w:after="0"/>
        <w:ind w:left="474" w:right="0" w:hanging="185"/>
        <w:jc w:val="left"/>
        <w:rPr>
          <w:rFonts w:hAnsi="宋体" w:eastAsia="宋体" w:ascii="宋体"/>
          <w:sz w:val="16"/>
        </w:rPr>
      </w:pPr>
      <w:r>
        <w:rPr>
          <w:rFonts w:hAnsi="宋体" w:eastAsia="宋体" w:ascii="宋体"/>
          <w:color w:val="231F20"/>
          <w:sz w:val="16"/>
        </w:rPr>
        <w:t>讨论</w:t>
      </w:r>
    </w:p>
    <w:p>
      <w:pPr>
        <w:pStyle w:val="BodyText"/>
        <w:spacing w:before="5"/>
        <w:rPr>
          <w:rFonts w:hAnsi="宋体" w:eastAsia="宋体" w:ascii="宋体"/>
          <w:sz w:val="18"/>
        </w:rPr>
      </w:pPr>
    </w:p>
    <w:p>
      <w:pPr>
        <w:pStyle w:val="BodyText"/>
        <w:spacing w:line="261" w:lineRule="auto"/>
        <w:ind w:left="290" w:firstLine="239"/>
        <w:jc w:val="both"/>
      </w:pPr>
      <w:r>
        <w:rPr>
          <w:rFonts w:hAnsi="宋体" w:eastAsia="宋体" w:ascii="宋体"/>
          <w:color w:val="231F20"/>
          <w:w w:val="95"/>
        </w:rPr>
        <w:t>我们开发了一种有效设计聚合酶链反应引物和探针、长序列组装寡核苷酸、电子分析以及预测和分析寡核苷酸特性的方法。该软件可以同时处理多个核酸序列和内部序列目标。我们从其他实验室收集和分析了自己的发现和数据，以更精确地预测聚合酶链反应效率的寡核苷酸质量。使用这些来设置寡核苷酸设计的参数，我们能够提高聚合酶链反应的成功率。与此处的工具相比，几乎所有可用于设计PCR引物的程序都不调查引物的序列，而仅使用引物的熔化温度进行选择。软件算法可以选择适用于大多数聚合酶链反应应用的高特异性寡核苷酸，具有宽的功能温度范围，并且可以消除较差的寡核苷酸-</w:t>
      </w:r>
    </w:p>
    <w:p>
      <w:pPr>
        <w:pStyle w:val="BodyText"/>
        <w:spacing w:line="261" w:lineRule="auto" w:before="98"/>
        <w:ind w:left="290" w:right="110"/>
        <w:jc w:val="both"/>
      </w:pPr>
      <w:r>
        <w:rPr>
          <w:rFonts w:hAnsi="宋体" w:eastAsia="宋体" w:ascii="宋体"/>
        </w:rPr>
        <w:br w:type="column"/>
      </w:r>
      <w:r>
        <w:rPr>
          <w:rFonts w:hAnsi="宋体" w:eastAsia="宋体" w:ascii="宋体"/>
          <w:color w:val="231F20"/>
          <w:w w:val="95"/>
        </w:rPr>
        <w:t>对于通过聚合酶链反应和连接组装多个片段来说，末端并不重要。对于电子聚合酶链反应，检测参考序列上引物位置的快速比对是通过使用3-或7-聚体的散列指数(内部最多包含一个错配)对两条链进行分析并计算整个引物序列的局部相似性来进行的。可以设置快速比对的参数:搜索起始的最小基数为3，局部相似度为50%。</w:t>
      </w:r>
    </w:p>
    <w:p>
      <w:pPr>
        <w:pStyle w:val="BodyText"/>
        <w:spacing w:line="261" w:lineRule="auto"/>
        <w:ind w:left="290" w:right="112" w:firstLine="239"/>
        <w:jc w:val="both"/>
      </w:pPr>
      <w:r>
        <w:rPr>
          <w:rFonts w:hAnsi="宋体" w:eastAsia="宋体" w:ascii="宋体"/>
          <w:color w:val="231F20"/>
          <w:w w:val="95"/>
        </w:rPr>
        <w:t>该程序从输入序列生成引物对(和探针)，并显示每个引物对的最佳退火温度和聚合酶链反应产物的大小以及每个设计引物的信息。结果由程序生成，以表格形式显示建议的引物和引物对，用于Excel或Open Office。电子表格显示以下属性:自动生成的引物名称、引物序列、序列位置、方向、长度、熔化温度、CG含量(%)、分子量、摩尔消光系数、语言复杂度(%)和PQ。对于相容的引物对，还提供了退火温度和聚合酶链反应产物大小。</w:t>
      </w:r>
    </w:p>
    <w:p>
      <w:pPr>
        <w:pStyle w:val="BodyText"/>
        <w:spacing w:line="261" w:lineRule="auto"/>
        <w:ind w:left="290" w:right="112" w:firstLine="239"/>
        <w:jc w:val="both"/>
      </w:pPr>
      <w:r>
        <w:rPr>
          <w:rFonts w:hAnsi="宋体" w:eastAsia="宋体" w:ascii="宋体"/>
          <w:color w:val="231F20"/>
        </w:rPr>
        <w:t>语言复杂度值转换为百分比，100%为最高级别:</w:t>
      </w:r>
    </w:p>
    <w:p>
      <w:pPr>
        <w:spacing w:after="0" w:line="261" w:lineRule="auto"/>
        <w:jc w:val="both"/>
        <w:sectPr>
          <w:type w:val="continuous"/>
          <w:pgSz w:w="11910" w:h="15880"/>
          <w:pgMar w:header="688" w:footer="0" w:top="640" w:bottom="280" w:left="560" w:right="560"/>
          <w:cols w:num="2" w:equalWidth="0">
            <w:col w:w="5313" w:space="47"/>
            <w:col w:w="5430"/>
          </w:cols>
        </w:sectPr>
      </w:pPr>
    </w:p>
    <w:p>
      <w:pPr>
        <w:pStyle w:val="BodyText"/>
        <w:spacing w:line="189" w:lineRule="exact"/>
        <w:ind w:left="290"/>
      </w:pPr>
      <w:r>
        <w:rPr>
          <w:rFonts w:hAnsi="宋体" w:eastAsia="宋体" w:ascii="宋体"/>
          <w:color w:val="231F20"/>
        </w:rPr>
        <w:t>利用二级结构预测的核苷酸。</w:t>
      </w:r>
    </w:p>
    <w:p>
      <w:pPr>
        <w:pStyle w:val="BodyText"/>
        <w:spacing w:line="61" w:lineRule="exact" w:before="17"/>
        <w:ind w:left="529"/>
      </w:pPr>
      <w:r>
        <w:rPr>
          <w:rFonts w:hAnsi="宋体" w:eastAsia="宋体" w:ascii="宋体"/>
          <w:color w:val="231F20"/>
          <w:w w:val="95"/>
        </w:rPr>
        <w:t>设计聚合酶链反应引物有几种公开可用的工具</w:t>
      </w:r>
    </w:p>
    <w:p>
      <w:pPr>
        <w:pStyle w:val="BodyText"/>
        <w:spacing w:line="188" w:lineRule="exact" w:before="79"/>
        <w:ind w:left="290"/>
      </w:pPr>
      <w:r>
        <w:rPr>
          <w:rFonts w:hAnsi="宋体" w:eastAsia="宋体" w:ascii="宋体"/>
        </w:rPr>
        <w:br w:type="column"/>
      </w:r>
      <w:r>
        <w:rPr>
          <w:rFonts w:hAnsi="宋体" w:eastAsia="宋体" w:ascii="宋体"/>
          <w:color w:val="231F20"/>
          <w:spacing w:val="-1"/>
          <w:w w:val="105"/>
        </w:rPr>
        <w:t>100 ×</w:t>
      </w:r>
    </w:p>
    <w:p>
      <w:pPr>
        <w:spacing w:line="92" w:lineRule="exact" w:before="0"/>
        <w:ind w:left="127" w:right="0" w:firstLine="0"/>
        <w:jc w:val="left"/>
        <w:rPr>
          <w:rFonts w:hAnsi="宋体" w:eastAsia="宋体" w:ascii="宋体"/>
          <w:i/>
          <w:sz w:val="11"/>
        </w:rPr>
      </w:pPr>
      <w:r>
        <w:rPr>
          <w:rFonts w:hAnsi="宋体" w:eastAsia="宋体" w:ascii="宋体"/>
        </w:rPr>
        <w:br w:type="column"/>
      </w:r>
      <w:r>
        <w:rPr>
          <w:rFonts w:hAnsi="宋体" w:eastAsia="宋体" w:ascii="宋体"/>
          <w:i/>
          <w:color w:val="231F20"/>
          <w:sz w:val="11"/>
        </w:rPr>
        <w:t>L</w:t>
      </w:r>
    </w:p>
    <w:p>
      <w:pPr>
        <w:spacing w:line="176" w:lineRule="exact" w:before="0"/>
        <w:ind w:left="53" w:right="0" w:firstLine="0"/>
        <w:jc w:val="left"/>
        <w:rPr>
          <w:rFonts w:hAnsi="宋体" w:eastAsia="宋体" w:ascii="宋体"/>
          <w:i/>
          <w:sz w:val="11"/>
        </w:rPr>
      </w:pPr>
      <w:r>
        <w:rPr>
          <w:rFonts w:hAnsi="宋体" w:eastAsia="宋体" w:ascii="宋体"/>
        </w:rPr>
        <w:pict>
          <v:shape style="position:absolute;margin-left:365.669189pt;margin-top:15.912417pt;width:4.25pt;height:9.550pt;mso-position-horizontal-relative:page;mso-position-vertical-relative:paragraph;z-index:-16666112" type="#_x0000_t202" id="docshape24" filled="false" stroked="false">
            <v:textbox inset="0,0,0,0">
              <w:txbxContent>
                <w:p>
                  <w:pPr>
                    <w:spacing w:before="2"/>
                    <w:ind w:left="0" w:right="0" w:firstLine="0"/>
                    <w:jc w:val="left"/>
                    <w:rPr>
                      <w:rFonts w:hAnsi="宋体" w:eastAsia="宋体" w:ascii="宋体"/>
                      <w:i/>
                      <w:sz w:val="16"/>
                    </w:rPr>
                  </w:pPr>
                  <w:r>
                    <w:rPr>
                      <w:rFonts w:hAnsi="宋体" w:eastAsia="宋体" w:ascii="宋体"/>
                      <w:i/>
                      <w:color w:val="231F20"/>
                      <w:w w:val="93"/>
                      <w:sz w:val="16"/>
                    </w:rPr>
                    <w:t>E</w:t>
                  </w:r>
                </w:p>
              </w:txbxContent>
            </v:textbox>
            <w10:wrap type="none"/>
          </v:shape>
        </w:pict>
      </w:r>
      <w:r>
        <w:rPr>
          <w:rFonts w:hAnsi="宋体" w:eastAsia="宋体" w:ascii="宋体"/>
          <w:color w:val="231F20"/>
          <w:w w:val="155"/>
          <w:sz w:val="16"/>
        </w:rPr>
        <w:t>∑ xi</w:t>
      </w:r>
    </w:p>
    <w:p>
      <w:pPr>
        <w:spacing w:after="0" w:line="176" w:lineRule="exact"/>
        <w:jc w:val="left"/>
        <w:rPr>
          <w:rFonts w:hAnsi="宋体" w:eastAsia="宋体" w:ascii="宋体"/>
          <w:sz w:val="11"/>
        </w:rPr>
        <w:sectPr>
          <w:type w:val="continuous"/>
          <w:pgSz w:w="11910" w:h="15880"/>
          <w:pgMar w:header="688" w:footer="0" w:top="640" w:bottom="280" w:left="560" w:right="560"/>
          <w:cols w:num="3" w:equalWidth="0">
            <w:col w:w="5353" w:space="681"/>
            <w:col w:w="725" w:space="40"/>
            <w:col w:w="3991"/>
          </w:cols>
        </w:sectPr>
      </w:pPr>
    </w:p>
    <w:p>
      <w:pPr>
        <w:pStyle w:val="BodyText"/>
        <w:spacing w:line="261" w:lineRule="auto" w:before="143"/>
        <w:ind w:left="290" w:right="-7"/>
      </w:pPr>
      <w:r>
        <w:rPr>
          <w:rFonts w:hAnsi="宋体" w:eastAsia="宋体" w:ascii="宋体"/>
          <w:color w:val="231F20"/>
        </w:rPr>
        <w:t>但是jPCR是唯一一个具有集成工具环境的，它为大多数PCR设计引物提供了全面的工具</w:t>
      </w:r>
    </w:p>
    <w:p>
      <w:pPr>
        <w:tabs>
          <w:tab w:pos="1472" w:val="left" w:leader="none"/>
        </w:tabs>
        <w:spacing w:before="2"/>
        <w:ind w:left="290" w:right="0" w:firstLine="0"/>
        <w:jc w:val="left"/>
        <w:rPr>
          <w:rFonts w:hAnsi="宋体" w:eastAsia="宋体" w:ascii="宋体"/>
          <w:sz w:val="16"/>
        </w:rPr>
      </w:pPr>
      <w:r>
        <w:rPr>
          <w:rFonts w:hAnsi="宋体" w:eastAsia="宋体" w:ascii="宋体"/>
        </w:rPr>
        <w:br w:type="column"/>
      </w:r>
      <w:r>
        <w:rPr>
          <w:rFonts w:hAnsi="宋体" w:eastAsia="宋体" w:ascii="宋体"/>
          <w:i/>
          <w:color w:val="231F20"/>
          <w:w w:val="105"/>
          <w:sz w:val="16"/>
        </w:rPr>
        <w:t>LC(%) =</w:t>
      </w:r>
      <w:r>
        <w:rPr>
          <w:rFonts w:hAnsi="宋体" w:eastAsia="宋体" w:ascii="宋体"/>
          <w:color w:val="231F20"/>
          <w:w w:val="105"/>
          <w:sz w:val="16"/>
          <w:u w:val="single" w:color="231F20"/>
          <w:vertAlign w:val="baseline"/>
        </w:rPr>
        <w:tab/>
      </w:r>
      <w:r>
        <w:rPr>
          <w:rFonts w:hAnsi="宋体" w:eastAsia="宋体" w:ascii="宋体"/>
          <w:i/>
          <w:color w:val="231F20"/>
          <w:w w:val="110"/>
          <w:sz w:val="16"/>
          <w:u w:val="single" w:color="231F20"/>
          <w:vertAlign w:val="superscript"/>
        </w:rPr>
        <w:t>i =1</w:t>
      </w:r>
    </w:p>
    <w:p>
      <w:pPr>
        <w:spacing w:after="0"/>
        <w:jc w:val="left"/>
        <w:rPr>
          <w:rFonts w:hAnsi="宋体" w:eastAsia="宋体" w:ascii="宋体"/>
          <w:sz w:val="16"/>
        </w:rPr>
        <w:sectPr>
          <w:type w:val="continuous"/>
          <w:pgSz w:w="11910" w:h="15880"/>
          <w:pgMar w:header="688" w:footer="0" w:top="640" w:bottom="280" w:left="560" w:right="560"/>
          <w:cols w:num="2" w:equalWidth="0">
            <w:col w:w="5314" w:space="46"/>
            <w:col w:w="5430"/>
          </w:cols>
        </w:sectPr>
      </w:pPr>
    </w:p>
    <w:p>
      <w:pPr>
        <w:pStyle w:val="BodyText"/>
        <w:spacing w:line="261" w:lineRule="auto" w:before="3"/>
        <w:ind w:left="290"/>
        <w:jc w:val="both"/>
      </w:pPr>
      <w:r>
        <w:rPr>
          <w:rFonts w:hAnsi="宋体" w:eastAsia="宋体" w:ascii="宋体"/>
          <w:color w:val="231F20"/>
          <w:w w:val="95"/>
        </w:rPr>
        <w:t>应用，有助于设计同时具有多种核酸序列的引物以及用于不同PCR应用及其组合的内部序列靶标，并允许其应用</w:t>
      </w:r>
    </w:p>
    <w:p>
      <w:pPr>
        <w:spacing w:line="93" w:lineRule="exact" w:before="0"/>
        <w:ind w:left="751" w:right="0" w:firstLine="0"/>
        <w:jc w:val="left"/>
        <w:rPr>
          <w:rFonts w:hAnsi="宋体" w:eastAsia="宋体" w:ascii="宋体"/>
          <w:i/>
          <w:sz w:val="11"/>
        </w:rPr>
      </w:pPr>
      <w:r>
        <w:rPr>
          <w:rFonts w:hAnsi="宋体" w:eastAsia="宋体" w:ascii="宋体"/>
        </w:rPr>
        <w:br w:type="column"/>
      </w:r>
      <w:r>
        <w:rPr>
          <w:rFonts w:hAnsi="宋体" w:eastAsia="宋体" w:ascii="宋体"/>
          <w:i/>
          <w:color w:val="231F20"/>
          <w:sz w:val="11"/>
        </w:rPr>
        <w:t>L</w:t>
      </w:r>
    </w:p>
    <w:p>
      <w:pPr>
        <w:spacing w:line="182" w:lineRule="exact" w:before="0"/>
        <w:ind w:left="290" w:right="0" w:firstLine="0"/>
        <w:jc w:val="left"/>
        <w:rPr>
          <w:rFonts w:hAnsi="宋体" w:eastAsia="宋体" w:ascii="宋体"/>
          <w:sz w:val="16"/>
        </w:rPr>
      </w:pPr>
      <w:r>
        <w:rPr>
          <w:rFonts w:hAnsi="宋体" w:eastAsia="宋体" w:ascii="宋体"/>
          <w:i/>
          <w:color w:val="231F20"/>
          <w:w w:val="115"/>
          <w:sz w:val="16"/>
        </w:rPr>
        <w:t>e =∑e</w:t>
      </w:r>
    </w:p>
    <w:p>
      <w:pPr>
        <w:spacing w:line="131" w:lineRule="exact" w:before="0"/>
        <w:ind w:left="658" w:right="0" w:firstLine="0"/>
        <w:jc w:val="left"/>
        <w:rPr>
          <w:rFonts w:hAnsi="宋体" w:eastAsia="宋体" w:ascii="宋体"/>
          <w:sz w:val="11"/>
        </w:rPr>
      </w:pPr>
      <w:r>
        <w:rPr>
          <w:rFonts w:hAnsi="宋体" w:eastAsia="宋体" w:ascii="宋体"/>
          <w:i/>
          <w:color w:val="231F20"/>
          <w:w w:val="125"/>
          <w:sz w:val="11"/>
        </w:rPr>
        <w:t>i =1</w:t>
      </w:r>
    </w:p>
    <w:p>
      <w:pPr>
        <w:spacing w:line="169" w:lineRule="exact" w:before="0"/>
        <w:ind w:left="138" w:right="2868" w:firstLine="0"/>
        <w:jc w:val="center"/>
        <w:rPr>
          <w:rFonts w:hAnsi="宋体" w:eastAsia="宋体" w:ascii="宋体"/>
          <w:i/>
          <w:sz w:val="16"/>
        </w:rPr>
      </w:pPr>
      <w:r>
        <w:rPr>
          <w:rFonts w:hAnsi="宋体" w:eastAsia="宋体" w:ascii="宋体"/>
        </w:rPr>
        <w:br w:type="column"/>
      </w:r>
      <w:r>
        <w:rPr>
          <w:rFonts w:hAnsi="宋体" w:eastAsia="宋体" w:ascii="宋体"/>
          <w:i/>
          <w:color w:val="231F20"/>
          <w:w w:val="115"/>
          <w:sz w:val="16"/>
        </w:rPr>
        <w:t>s I+1；s b4i 1+I</w:t>
      </w:r>
    </w:p>
    <w:p>
      <w:pPr>
        <w:pStyle w:val="BodyText"/>
        <w:spacing w:before="6"/>
        <w:rPr>
          <w:rFonts w:hAnsi="宋体" w:eastAsia="宋体" w:ascii="宋体"/>
          <w:i/>
          <w:sz w:val="2"/>
        </w:rPr>
      </w:pPr>
    </w:p>
    <w:p>
      <w:pPr>
        <w:pStyle w:val="BodyText"/>
        <w:spacing w:line="20" w:lineRule="exact"/>
        <w:ind w:left="151"/>
        <w:rPr>
          <w:rFonts w:hAnsi="宋体" w:eastAsia="宋体" w:ascii="宋体"/>
          <w:sz w:val="2"/>
        </w:rPr>
      </w:pPr>
      <w:r>
        <w:rPr>
          <w:rFonts w:hAnsi="宋体" w:eastAsia="宋体" w:ascii="宋体"/>
          <w:sz w:val="2"/>
        </w:rPr>
        <w:pict>
          <v:group style="width:71.850pt;height:.35pt;mso-position-horizontal-relative:char;mso-position-vertical-relative:line" id="docshapegroup25" coordorigin="0,0" coordsize="1437,7">
            <v:rect style="position:absolute;left:0;top:0;width:1437;height:7" id="docshape26" filled="true" fillcolor="#231f20" stroked="false">
              <v:fill type="solid"/>
            </v:rect>
          </v:group>
        </w:pict>
      </w:r>
      <w:r>
        <w:rPr>
          <w:rFonts w:hAnsi="宋体" w:eastAsia="宋体" w:ascii="宋体"/>
          <w:sz w:val="2"/>
        </w:rPr>
      </w:r>
    </w:p>
    <w:p>
      <w:pPr>
        <w:spacing w:before="0"/>
        <w:ind w:left="138" w:right="2868" w:firstLine="0"/>
        <w:jc w:val="center"/>
        <w:rPr>
          <w:rFonts w:hAnsi="宋体" w:eastAsia="宋体" w:ascii="宋体"/>
          <w:i/>
          <w:sz w:val="16"/>
        </w:rPr>
      </w:pPr>
      <w:r>
        <w:rPr>
          <w:rFonts w:hAnsi="宋体" w:eastAsia="宋体" w:ascii="宋体"/>
        </w:rPr>
        <w:pict>
          <v:shape style="position:absolute;margin-left:344.863373pt;margin-top:-18.258394pt;width:6.4pt;height:29.75pt;mso-position-horizontal-relative:page;mso-position-vertical-relative:paragraph;z-index:15738880" type="#_x0000_t202" id="docshape27" filled="false" stroked="false">
            <v:textbox inset="0,0,0,0">
              <w:txbxContent>
                <w:p>
                  <w:pPr>
                    <w:spacing w:line="209" w:lineRule="exact" w:before="0"/>
                    <w:ind w:left="0" w:right="0" w:firstLine="0"/>
                    <w:jc w:val="left"/>
                    <w:rPr>
                      <w:rFonts w:hAnsi="宋体" w:eastAsia="宋体" w:ascii="宋体"/>
                      <w:sz w:val="16"/>
                    </w:rPr>
                  </w:pPr>
                  <w:r>
                    <w:rPr>
                      <w:rFonts w:hAnsi="宋体" w:eastAsia="宋体" w:ascii="宋体"/>
                      <w:color w:val="231F20"/>
                      <w:w w:val="239"/>
                      <w:sz w:val="16"/>
                    </w:rPr>
                    <w:t>（</w:t>
                  </w:r>
                </w:p>
              </w:txbxContent>
            </v:textbox>
            <w10:wrap type="none"/>
          </v:shape>
        </w:pict>
      </w:r>
      <w:r>
        <w:rPr>
          <w:rFonts w:hAnsi="宋体" w:eastAsia="宋体" w:ascii="宋体"/>
          <w:color w:val="231F20"/>
          <w:w w:val="120"/>
          <w:sz w:val="16"/>
        </w:rPr>
        <w:t>4i；s≥4i 1+I</w:t>
      </w:r>
    </w:p>
    <w:p>
      <w:pPr>
        <w:spacing w:after="0"/>
        <w:jc w:val="center"/>
        <w:rPr>
          <w:rFonts w:hAnsi="宋体" w:eastAsia="宋体" w:ascii="宋体"/>
          <w:sz w:val="16"/>
        </w:rPr>
        <w:sectPr>
          <w:type w:val="continuous"/>
          <w:pgSz w:w="11910" w:h="15880"/>
          <w:pgMar w:header="688" w:footer="0" w:top="640" w:bottom="280" w:left="560" w:right="560"/>
          <w:cols w:num="3" w:equalWidth="0">
            <w:col w:w="5313" w:space="46"/>
            <w:col w:w="913" w:space="40"/>
            <w:col w:w="4478"/>
          </w:cols>
        </w:sectPr>
      </w:pPr>
    </w:p>
    <w:p>
      <w:pPr>
        <w:pStyle w:val="BodyText"/>
        <w:spacing w:line="261" w:lineRule="auto"/>
        <w:ind w:left="290"/>
        <w:jc w:val="both"/>
      </w:pPr>
      <w:r>
        <w:rPr>
          <w:rFonts w:hAnsi="宋体" w:eastAsia="宋体" w:ascii="宋体"/>
          <w:color w:val="231F20"/>
          <w:w w:val="95"/>
        </w:rPr>
        <w:t>广泛项目的组件化功能。这个软件是灵活的，并且允许在广泛的项目中应用它的组件化功能。它已经在世界各地的许多实验室和公司进行了测试，为一系列应用和任务设计了成千上万的PCR引物和探针[参见</w:t>
      </w:r>
      <w:hyperlink r:id="rId22">
        <w:r>
          <w:rPr>
            <w:rFonts w:hAnsi="宋体" w:eastAsia="宋体" w:ascii="宋体"/>
            <w:color w:val="2E3092"/>
          </w:rPr>
          <w:t>http://primerdigital.com/fastpcr/citations.html</w:t>
        </w:r>
      </w:hyperlink>
      <w:r>
        <w:rPr>
          <w:rFonts w:hAnsi="宋体" w:eastAsia="宋体" w:ascii="宋体"/>
          <w:color w:val="231F20"/>
        </w:rPr>
        <w:t>]，提供了宝贵的反馈，用于进一步发展方案。我们将继续通过实验室和提供反馈的合作者网络来评估这些工具。</w:t>
      </w:r>
    </w:p>
    <w:p>
      <w:pPr>
        <w:pStyle w:val="BodyText"/>
        <w:rPr>
          <w:rFonts w:hAnsi="宋体" w:eastAsia="宋体" w:ascii="宋体"/>
          <w:sz w:val="17"/>
        </w:rPr>
      </w:pPr>
    </w:p>
    <w:p>
      <w:pPr>
        <w:pStyle w:val="ListParagraph"/>
        <w:numPr>
          <w:ilvl w:val="0"/>
          <w:numId w:val="1"/>
        </w:numPr>
        <w:tabs>
          <w:tab w:pos="475" w:val="left" w:leader="none"/>
        </w:tabs>
        <w:spacing w:line="240" w:lineRule="auto" w:before="0" w:after="0"/>
        <w:ind w:left="474" w:right="0" w:hanging="185"/>
        <w:jc w:val="left"/>
        <w:rPr>
          <w:rFonts w:hAnsi="宋体" w:eastAsia="宋体" w:ascii="宋体"/>
          <w:sz w:val="16"/>
        </w:rPr>
      </w:pPr>
      <w:bookmarkStart w:name="4. Materials and methods" w:id="38"/>
      <w:bookmarkEnd w:id="38"/>
      <w:r>
        <w:rPr>
          <w:rFonts w:hAnsi="宋体" w:eastAsia="宋体" w:ascii="宋体"/>
        </w:rPr>
      </w:r>
      <w:bookmarkStart w:name="4. Materials and methods" w:id="39"/>
      <w:bookmarkEnd w:id="39"/>
      <w:r>
        <w:rPr>
          <w:rFonts w:hAnsi="宋体" w:eastAsia="宋体" w:ascii="宋体"/>
          <w:color w:val="231F20"/>
          <w:sz w:val="16"/>
        </w:rPr>
        <w:t>材料和方法</w:t>
      </w:r>
    </w:p>
    <w:p>
      <w:pPr>
        <w:pStyle w:val="BodyText"/>
        <w:spacing w:before="10"/>
        <w:rPr>
          <w:rFonts w:hAnsi="宋体" w:eastAsia="宋体" w:ascii="宋体"/>
          <w:sz w:val="18"/>
        </w:rPr>
      </w:pPr>
    </w:p>
    <w:p>
      <w:pPr>
        <w:pStyle w:val="BodyText"/>
        <w:spacing w:line="261" w:lineRule="auto"/>
        <w:ind w:left="290" w:firstLine="239"/>
        <w:jc w:val="both"/>
      </w:pPr>
      <w:r>
        <w:rPr>
          <w:rFonts w:hAnsi="宋体" w:eastAsia="宋体" w:ascii="宋体"/>
          <w:color w:val="231F20"/>
          <w:spacing w:val="-1"/>
        </w:rPr>
        <w:t>工具</w:t>
      </w:r>
      <w:hyperlink r:id="rId28">
        <w:r>
          <w:rPr>
            <w:rFonts w:hAnsi="宋体" w:eastAsia="宋体" w:ascii="宋体"/>
            <w:color w:val="2E3092"/>
            <w:spacing w:val="-1"/>
          </w:rPr>
          <w:t>http://primerdigital.com/tools/</w:t>
        </w:r>
      </w:hyperlink>
      <w:r>
        <w:rPr>
          <w:rFonts w:hAnsi="宋体" w:eastAsia="宋体" w:ascii="宋体"/>
          <w:color w:val="231F20"/>
          <w:spacing w:val="-1"/>
        </w:rPr>
        <w:t>]是用NetBeans IDE (Oracle)用Java编写的，需要计算机上的Java运行时环境(JRE)。它可以用于任何操作系统(64位操作系统更适合大型染色体文件)。Java应用程序要么采用单个序列，要么接受多个单独的脱氧核糖核酸序列，采用FASTA或表格格式(Excel表或Word表)，或者作为一个RTF文件。聚合酶链反应引物设计算法生成的引物组具有很高的成功可能性，可用于任何扩增方案。所有引物都可以用于聚合酶链反应或测序实验。</w:t>
      </w:r>
      <w:bookmarkStart w:name="Acknowledgments" w:id="40"/>
      <w:bookmarkEnd w:id="40"/>
    </w:p>
    <w:p>
      <w:pPr>
        <w:pStyle w:val="BodyText"/>
        <w:spacing w:line="261" w:lineRule="auto"/>
        <w:ind w:left="290" w:firstLine="239"/>
        <w:jc w:val="both"/>
        <w:rPr>
          <w:rFonts w:hAnsi="宋体" w:eastAsia="宋体" w:ascii="宋体"/>
        </w:rPr>
      </w:pPr>
      <w:r>
        <w:rPr>
          <w:rFonts w:hAnsi="宋体" w:eastAsia="宋体" w:ascii="宋体"/>
          <w:color w:val="231F20"/>
        </w:rPr>
        <w:t>多重聚合酶链反应算法基于快速非递归方法，软件对所有引物的产品大小兼容性和交叉二聚体相互作用进行检查。对于长序列组装，寡核苷酸设计从给定序列的5’端开始；寡核苷酸长度动态变化，直到发现独特的3’末端，并且寡核苷酸的Tm达到Tm阈值。所有寡核苷酸的设计都没有间隙。另一条链用于重叠寡核苷酸的设计，其算法与上述相同，但重叠区域的Tm达到Tm-15c阈值。3’末端的序列组成很重要，因为寡核苷酸复合物中3’末端的稳定性将提高聚合酶延伸的特异性。为了减少非特异性聚合酶延伸和连接(LCR)，该算法只选择3’末端的独特序列。至少，3’末端的最后2个核苷酸不能与非特异性靶互补。除了3’以外的其他互补区域</w:t>
      </w:r>
      <w:bookmarkStart w:name="References" w:id="41"/>
      <w:bookmarkEnd w:id="41"/>
      <w:bookmarkStart w:name="_bookmark13" w:id="42"/>
      <w:bookmarkEnd w:id="42"/>
      <w:bookmarkStart w:name="_bookmark14" w:id="43"/>
      <w:bookmarkEnd w:id="43"/>
      <w:bookmarkStart w:name="_bookmark15" w:id="44"/>
      <w:bookmarkEnd w:id="44"/>
      <w:bookmarkStart w:name="_bookmark16" w:id="45"/>
      <w:bookmarkEnd w:id="45"/>
    </w:p>
    <w:p>
      <w:pPr>
        <w:pStyle w:val="BodyText"/>
        <w:ind w:left="290"/>
      </w:pPr>
      <w:r>
        <w:rPr>
          <w:rFonts w:hAnsi="宋体" w:eastAsia="宋体" w:ascii="宋体"/>
        </w:rPr>
        <w:br w:type="column"/>
      </w:r>
      <w:r>
        <w:rPr>
          <w:rFonts w:hAnsi="宋体" w:eastAsia="宋体" w:ascii="宋体"/>
          <w:color w:val="231F20"/>
        </w:rPr>
        <w:t>其中s是序列的长度。</w:t>
      </w:r>
    </w:p>
    <w:p>
      <w:pPr>
        <w:pStyle w:val="BodyText"/>
        <w:spacing w:line="259" w:lineRule="auto" w:before="15"/>
        <w:ind w:left="290" w:right="109" w:firstLine="239"/>
        <w:jc w:val="both"/>
      </w:pPr>
      <w:r>
        <w:rPr>
          <w:rFonts w:hAnsi="宋体" w:eastAsia="宋体" w:ascii="宋体"/>
          <w:color w:val="231F20"/>
          <w:w w:val="90"/>
        </w:rPr>
        <w:t>例如，序列5′-acacacac，16 nT，含有两个核苷酸(A，C)，但预期E =4个变体；两个双核苷酸变体(AC，CA)，但预期为E =(16-1)变体；三核苷酸的两个变体(ACA，CAC)和预期的E =(16-2)变体。这</w:t>
      </w:r>
    </w:p>
    <w:p>
      <w:pPr>
        <w:spacing w:line="222" w:lineRule="exact" w:before="0"/>
        <w:ind w:left="529" w:right="0" w:hanging="240"/>
        <w:jc w:val="left"/>
        <w:rPr>
          <w:rFonts w:hAnsi="宋体" w:eastAsia="宋体" w:ascii="宋体"/>
          <w:sz w:val="16"/>
        </w:rPr>
      </w:pPr>
      <w:r>
        <w:rPr>
          <w:rFonts w:hAnsi="宋体" w:eastAsia="宋体" w:ascii="宋体"/>
          <w:color w:val="231F20"/>
          <w:spacing w:val="-4"/>
          <w:w w:val="105"/>
          <w:sz w:val="16"/>
        </w:rPr>
        <w:t>复杂度值为LC = 100(2+2+2)/(4+161+162)= 18.2%。</w:t>
      </w:r>
    </w:p>
    <w:p>
      <w:pPr>
        <w:pStyle w:val="BodyText"/>
        <w:spacing w:line="261" w:lineRule="auto"/>
        <w:ind w:left="290" w:right="111" w:firstLine="239"/>
        <w:jc w:val="both"/>
      </w:pPr>
      <w:r>
        <w:rPr>
          <w:rFonts w:hAnsi="宋体" w:eastAsia="宋体" w:ascii="宋体"/>
          <w:color w:val="231F20"/>
        </w:rPr>
        <w:t>分子间G-四链体形成序列根据公式…GM1 ngm 2…检测，其中m是每个G-道中G残基的数量(m1，m2≥3)；间隙Xn (n≤ 2最小值(m1:m2))可以是任何残基的组合，包括G</w:t>
      </w:r>
      <w:hyperlink w:history="true" w:anchor="_bookmark17">
        <w:r>
          <w:rPr>
            <w:rFonts w:hAnsi="宋体" w:eastAsia="宋体" w:ascii="宋体"/>
            <w:color w:val="2E3092"/>
            <w:w w:val="105"/>
            <w:vertAlign w:val="baseline"/>
          </w:rPr>
          <w:t>[25]</w:t>
        </w:r>
      </w:hyperlink>
      <w:r>
        <w:rPr>
          <w:rFonts w:hAnsi="宋体" w:eastAsia="宋体" w:ascii="宋体"/>
          <w:color w:val="231F20"/>
          <w:w w:val="105"/>
          <w:vertAlign w:val="baseline"/>
        </w:rPr>
        <w:t>。间隙序列(Xn)可以具有不同的长度，并且相对稳定的四链体结构仍然可以形成超过7个碱基长的环，但是一般来说，增加间隙的长度会导致结构稳定性降低。当有N 6个碱基的长聚G束时，其中一个间隙的长度也可能为零。</w:t>
      </w:r>
    </w:p>
    <w:p>
      <w:pPr>
        <w:pStyle w:val="BodyText"/>
        <w:spacing w:line="259" w:lineRule="auto"/>
        <w:ind w:left="290" w:right="111" w:firstLine="239"/>
        <w:jc w:val="both"/>
      </w:pPr>
      <w:r>
        <w:rPr>
          <w:rFonts w:hAnsi="宋体" w:eastAsia="宋体" w:ascii="宋体"/>
          <w:color w:val="231F20"/>
          <w:w w:val="95"/>
        </w:rPr>
        <w:t>与本文相关的补充材料可在doi:10.1016/j . ygeno . 2011 . 04 . 009在线查阅。</w:t>
      </w:r>
    </w:p>
    <w:p>
      <w:pPr>
        <w:pStyle w:val="BodyText"/>
        <w:spacing w:before="6"/>
      </w:pPr>
    </w:p>
    <w:p>
      <w:pPr>
        <w:pStyle w:val="BodyText"/>
        <w:ind w:left="290"/>
      </w:pPr>
      <w:r>
        <w:rPr>
          <w:rFonts w:hAnsi="宋体" w:eastAsia="宋体" w:ascii="宋体"/>
          <w:color w:val="231F20"/>
          <w:w w:val="105"/>
        </w:rPr>
        <w:t>感谢</w:t>
      </w:r>
    </w:p>
    <w:p>
      <w:pPr>
        <w:pStyle w:val="BodyText"/>
        <w:spacing w:before="10"/>
        <w:rPr>
          <w:rFonts w:hAnsi="宋体" w:eastAsia="宋体" w:ascii="宋体"/>
          <w:sz w:val="18"/>
        </w:rPr>
      </w:pPr>
    </w:p>
    <w:p>
      <w:pPr>
        <w:pStyle w:val="BodyText"/>
        <w:spacing w:line="261" w:lineRule="auto"/>
        <w:ind w:left="290" w:right="115" w:firstLine="239"/>
        <w:jc w:val="both"/>
      </w:pPr>
      <w:r>
        <w:rPr>
          <w:rFonts w:hAnsi="宋体" w:eastAsia="宋体" w:ascii="宋体"/>
          <w:color w:val="231F20"/>
          <w:spacing w:val="-3"/>
        </w:rPr>
        <w:t>学术机构可以免费获得网络工具，只要它们仅用于非商业研究和教育。不得出于商业目的复制或分发。这项工作得到了PrimerDigital有限公司和寡聚体有限公司的部分支持</w:t>
      </w:r>
    </w:p>
    <w:p>
      <w:pPr>
        <w:pStyle w:val="BodyText"/>
        <w:spacing w:before="3"/>
        <w:rPr>
          <w:rFonts w:hAnsi="宋体" w:eastAsia="宋体" w:ascii="宋体"/>
          <w:sz w:val="17"/>
        </w:rPr>
      </w:pPr>
    </w:p>
    <w:p>
      <w:pPr>
        <w:pStyle w:val="BodyText"/>
        <w:ind w:left="290"/>
      </w:pPr>
      <w:r>
        <w:rPr>
          <w:rFonts w:hAnsi="宋体" w:eastAsia="宋体" w:ascii="宋体"/>
          <w:color w:val="231F20"/>
          <w:w w:val="105"/>
        </w:rPr>
        <w:t>参考</w:t>
      </w:r>
    </w:p>
    <w:p>
      <w:pPr>
        <w:pStyle w:val="BodyText"/>
        <w:spacing w:before="9"/>
        <w:rPr>
          <w:rFonts w:hAnsi="宋体" w:eastAsia="宋体" w:ascii="宋体"/>
          <w:sz w:val="23"/>
        </w:rPr>
      </w:pPr>
    </w:p>
    <w:p>
      <w:pPr>
        <w:pStyle w:val="ListParagraph"/>
        <w:numPr>
          <w:ilvl w:val="0"/>
          <w:numId w:val="2"/>
        </w:numPr>
        <w:tabs>
          <w:tab w:pos="607" w:val="left" w:leader="none"/>
        </w:tabs>
        <w:spacing w:line="266" w:lineRule="auto" w:before="0" w:after="0"/>
        <w:ind w:left="606" w:right="112" w:hanging="244"/>
        <w:jc w:val="both"/>
        <w:rPr>
          <w:rFonts w:hAnsi="宋体" w:eastAsia="宋体" w:ascii="宋体"/>
          <w:sz w:val="12"/>
        </w:rPr>
      </w:pPr>
      <w:r>
        <w:rPr>
          <w:rFonts w:hAnsi="宋体" w:eastAsia="宋体" w:ascii="宋体"/>
          <w:color w:val="231F20"/>
          <w:sz w:val="12"/>
        </w:rPr>
        <w:t>X.杨，谢弗勒，韦斯顿，高等植物DNA多态性引物设计和mRNA分析的最新进展，植物方法2 (2006) 4。</w:t>
      </w:r>
    </w:p>
    <w:p>
      <w:pPr>
        <w:pStyle w:val="ListParagraph"/>
        <w:numPr>
          <w:ilvl w:val="0"/>
          <w:numId w:val="2"/>
        </w:numPr>
        <w:tabs>
          <w:tab w:pos="607" w:val="left" w:leader="none"/>
        </w:tabs>
        <w:spacing w:line="264" w:lineRule="auto" w:before="0" w:after="0"/>
        <w:ind w:left="606" w:right="113" w:hanging="244"/>
        <w:jc w:val="both"/>
        <w:rPr>
          <w:rFonts w:hAnsi="宋体" w:eastAsia="宋体" w:ascii="宋体"/>
          <w:sz w:val="12"/>
        </w:rPr>
      </w:pPr>
      <w:r>
        <w:rPr>
          <w:rFonts w:hAnsi="宋体" w:eastAsia="宋体" w:ascii="宋体"/>
          <w:color w:val="231F20"/>
          <w:sz w:val="12"/>
        </w:rPr>
        <w:t>R.用于聚合酶链反应引物和探针设计和重复搜索的快速聚合酶链反应软件，基因、基因组和基因组学3(2009)1–14。</w:t>
      </w:r>
    </w:p>
    <w:p>
      <w:pPr>
        <w:pStyle w:val="ListParagraph"/>
        <w:numPr>
          <w:ilvl w:val="0"/>
          <w:numId w:val="2"/>
        </w:numPr>
        <w:tabs>
          <w:tab w:pos="607" w:val="left" w:leader="none"/>
        </w:tabs>
        <w:spacing w:line="264" w:lineRule="auto" w:before="0" w:after="0"/>
        <w:ind w:left="606" w:right="112" w:hanging="244"/>
        <w:jc w:val="both"/>
        <w:rPr>
          <w:rFonts w:hAnsi="宋体" w:eastAsia="宋体" w:ascii="宋体"/>
          <w:sz w:val="12"/>
        </w:rPr>
      </w:pPr>
      <w:r>
        <w:rPr>
          <w:rFonts w:hAnsi="宋体" w:eastAsia="宋体" w:ascii="宋体"/>
          <w:color w:val="231F20"/>
          <w:sz w:val="12"/>
        </w:rPr>
        <w:t>南Rozen，H.J. Skaletsky，WWW上面向普通用户和生物学家程序员的Primer3，载于:S. Krawetz，S. Misener (Eds。)，生物信息学方法和协议:分子生物学方法，Humana出版社，Totowa，NJ，美国，2000，第365-386页。</w:t>
      </w:r>
    </w:p>
    <w:p>
      <w:pPr>
        <w:pStyle w:val="ListParagraph"/>
        <w:numPr>
          <w:ilvl w:val="0"/>
          <w:numId w:val="2"/>
        </w:numPr>
        <w:tabs>
          <w:tab w:pos="607" w:val="left" w:leader="none"/>
        </w:tabs>
        <w:spacing w:line="266" w:lineRule="auto" w:before="3" w:after="0"/>
        <w:ind w:left="606" w:right="113" w:hanging="244"/>
        <w:jc w:val="both"/>
        <w:rPr>
          <w:rFonts w:hAnsi="宋体" w:eastAsia="宋体" w:ascii="宋体"/>
          <w:sz w:val="12"/>
        </w:rPr>
      </w:pPr>
      <w:r>
        <w:rPr>
          <w:rFonts w:hAnsi="宋体" w:eastAsia="宋体" w:ascii="宋体"/>
          <w:color w:val="231F20"/>
          <w:w w:val="105"/>
          <w:sz w:val="12"/>
        </w:rPr>
        <w:t>《标准、亚硫酸氢盐和实时聚合酶链反应的跨平台图形化引物设计》，《生物信息学》20(2004)2471–2472。</w:t>
      </w:r>
    </w:p>
    <w:p>
      <w:pPr>
        <w:pStyle w:val="ListParagraph"/>
        <w:numPr>
          <w:ilvl w:val="0"/>
          <w:numId w:val="2"/>
        </w:numPr>
        <w:tabs>
          <w:tab w:pos="607" w:val="left" w:leader="none"/>
        </w:tabs>
        <w:spacing w:line="143" w:lineRule="exact" w:before="0" w:after="0"/>
        <w:ind w:left="606" w:right="0" w:hanging="245"/>
        <w:jc w:val="both"/>
        <w:rPr>
          <w:rFonts w:hAnsi="宋体" w:eastAsia="宋体" w:ascii="宋体"/>
          <w:sz w:val="12"/>
        </w:rPr>
      </w:pPr>
      <w:r>
        <w:rPr>
          <w:rFonts w:hAnsi="宋体" w:eastAsia="宋体" w:ascii="宋体"/>
          <w:color w:val="231F20"/>
          <w:sz w:val="12"/>
        </w:rPr>
        <w:t>R.Owczarzy，A.V. Tataurov，Y. Wu，J.A. Manthey，K.A. McQuisten，h . g . alma bragi，</w:t>
      </w:r>
    </w:p>
    <w:p>
      <w:pPr>
        <w:spacing w:line="264" w:lineRule="auto" w:before="15"/>
        <w:ind w:left="606" w:right="112" w:firstLine="0"/>
        <w:jc w:val="both"/>
        <w:rPr>
          <w:rFonts w:hAnsi="宋体" w:eastAsia="宋体" w:ascii="宋体"/>
          <w:sz w:val="12"/>
        </w:rPr>
      </w:pPr>
      <w:r>
        <w:rPr>
          <w:rFonts w:hAnsi="宋体" w:eastAsia="宋体" w:ascii="宋体"/>
          <w:color w:val="231F20"/>
          <w:spacing w:val="-1"/>
          <w:sz w:val="12"/>
        </w:rPr>
        <w:t>《核酸寡聚物的分析和设计套件》，核酸研究1(2008)W163–W169。</w:t>
      </w:r>
    </w:p>
    <w:p>
      <w:pPr>
        <w:spacing w:after="0" w:line="264" w:lineRule="auto"/>
        <w:jc w:val="both"/>
        <w:rPr>
          <w:rFonts w:hAnsi="宋体" w:eastAsia="宋体" w:ascii="宋体"/>
          <w:sz w:val="12"/>
        </w:rPr>
        <w:sectPr>
          <w:type w:val="continuous"/>
          <w:pgSz w:w="11910" w:h="15880"/>
          <w:pgMar w:header="688" w:footer="0" w:top="640" w:bottom="280" w:left="560" w:right="560"/>
          <w:cols w:num="2" w:equalWidth="0">
            <w:col w:w="5314" w:space="46"/>
            <w:col w:w="5430"/>
          </w:cols>
        </w:sectPr>
      </w:pPr>
    </w:p>
    <w:p>
      <w:pPr>
        <w:pStyle w:val="BodyText"/>
        <w:spacing w:before="1"/>
        <w:rPr>
          <w:rFonts w:hAnsi="宋体" w:eastAsia="宋体" w:ascii="宋体"/>
          <w:sz w:val="9"/>
        </w:rPr>
      </w:pPr>
    </w:p>
    <w:p>
      <w:pPr>
        <w:spacing w:after="0"/>
        <w:rPr>
          <w:rFonts w:hAnsi="宋体" w:eastAsia="宋体" w:ascii="宋体"/>
          <w:sz w:val="9"/>
        </w:rPr>
        <w:sectPr>
          <w:pgSz w:w="11910" w:h="15880"/>
          <w:pgMar w:header="688" w:footer="0" w:top="880" w:bottom="280" w:left="560" w:right="560"/>
        </w:sectPr>
      </w:pPr>
    </w:p>
    <w:p>
      <w:pPr>
        <w:pStyle w:val="ListParagraph"/>
        <w:numPr>
          <w:ilvl w:val="0"/>
          <w:numId w:val="2"/>
        </w:numPr>
        <w:tabs>
          <w:tab w:pos="431" w:val="left" w:leader="none"/>
        </w:tabs>
        <w:spacing w:line="266" w:lineRule="auto" w:before="108" w:after="0"/>
        <w:ind w:left="430" w:right="40" w:hanging="244"/>
        <w:jc w:val="both"/>
        <w:rPr>
          <w:rFonts w:hAnsi="宋体" w:eastAsia="宋体" w:ascii="宋体"/>
          <w:sz w:val="12"/>
        </w:rPr>
      </w:pPr>
      <w:bookmarkStart w:name="_bookmark17" w:id="46"/>
      <w:bookmarkEnd w:id="46"/>
      <w:r>
        <w:rPr>
          <w:rFonts w:hAnsi="宋体" w:eastAsia="宋体" w:ascii="宋体"/>
        </w:rPr>
      </w:r>
      <w:bookmarkStart w:name="_bookmark17" w:id="47"/>
      <w:bookmarkEnd w:id="47"/>
      <w:r>
        <w:rPr>
          <w:rFonts w:hAnsi="宋体" w:eastAsia="宋体" w:ascii="宋体"/>
          <w:color w:val="231F20"/>
          <w:w w:val="105"/>
          <w:sz w:val="12"/>
        </w:rPr>
        <w:t>米（meter的缩写））《基于工作流的通用引物设计改进平台》，核酸研究36 (2008) e56。</w:t>
      </w:r>
    </w:p>
    <w:p>
      <w:pPr>
        <w:pStyle w:val="ListParagraph"/>
        <w:numPr>
          <w:ilvl w:val="0"/>
          <w:numId w:val="2"/>
        </w:numPr>
        <w:tabs>
          <w:tab w:pos="431" w:val="left" w:leader="none"/>
        </w:tabs>
        <w:spacing w:line="264" w:lineRule="auto" w:before="0" w:after="0"/>
        <w:ind w:left="430" w:right="40" w:hanging="244"/>
        <w:jc w:val="both"/>
        <w:rPr>
          <w:rFonts w:hAnsi="宋体" w:eastAsia="宋体" w:ascii="宋体"/>
          <w:sz w:val="12"/>
        </w:rPr>
      </w:pPr>
      <w:r>
        <w:rPr>
          <w:rFonts w:hAnsi="宋体" w:eastAsia="宋体" w:ascii="宋体"/>
          <w:color w:val="231F20"/>
          <w:spacing w:val="-1"/>
          <w:w w:val="105"/>
          <w:sz w:val="12"/>
        </w:rPr>
        <w:t>M.D. Gadberry，S.T. Malcomber，A.N. Doust，E.A. Kellogg，Primaclade——一种跨多个物种寻找保守PCR引物的灵活工具，《生物信息学》21(2005)1263–1264。</w:t>
      </w:r>
    </w:p>
    <w:p>
      <w:pPr>
        <w:pStyle w:val="ListParagraph"/>
        <w:numPr>
          <w:ilvl w:val="0"/>
          <w:numId w:val="2"/>
        </w:numPr>
        <w:tabs>
          <w:tab w:pos="431" w:val="left" w:leader="none"/>
        </w:tabs>
        <w:spacing w:line="264" w:lineRule="auto" w:before="0" w:after="0"/>
        <w:ind w:left="430" w:right="40" w:hanging="244"/>
        <w:jc w:val="both"/>
        <w:rPr>
          <w:rFonts w:hAnsi="宋体" w:eastAsia="宋体" w:ascii="宋体"/>
          <w:sz w:val="12"/>
        </w:rPr>
      </w:pPr>
      <w:r>
        <w:rPr>
          <w:rFonts w:hAnsi="宋体" w:eastAsia="宋体" w:ascii="宋体"/>
          <w:color w:val="231F20"/>
          <w:sz w:val="12"/>
        </w:rPr>
        <w:t>J.《一个家族中每个序列的特异性聚合酶链反应引物的自动设计》，BMC生物信息学8 (2007) 369。</w:t>
      </w:r>
    </w:p>
    <w:p>
      <w:pPr>
        <w:pStyle w:val="ListParagraph"/>
        <w:numPr>
          <w:ilvl w:val="0"/>
          <w:numId w:val="2"/>
        </w:numPr>
        <w:tabs>
          <w:tab w:pos="431" w:val="left" w:leader="none"/>
        </w:tabs>
        <w:spacing w:line="266" w:lineRule="auto" w:before="2" w:after="0"/>
        <w:ind w:left="430" w:right="40" w:hanging="244"/>
        <w:jc w:val="both"/>
        <w:rPr>
          <w:rFonts w:hAnsi="宋体" w:eastAsia="宋体" w:ascii="宋体"/>
          <w:sz w:val="12"/>
        </w:rPr>
      </w:pPr>
      <w:r>
        <w:rPr>
          <w:rFonts w:hAnsi="宋体" w:eastAsia="宋体" w:ascii="宋体"/>
          <w:color w:val="231F20"/>
          <w:sz w:val="12"/>
        </w:rPr>
        <w:t>T.《生物信息学研究》7 (2006) 431。</w:t>
      </w:r>
    </w:p>
    <w:p>
      <w:pPr>
        <w:pStyle w:val="ListParagraph"/>
        <w:numPr>
          <w:ilvl w:val="0"/>
          <w:numId w:val="2"/>
        </w:numPr>
        <w:tabs>
          <w:tab w:pos="431" w:val="left" w:leader="none"/>
        </w:tabs>
        <w:spacing w:line="264" w:lineRule="auto" w:before="0" w:after="0"/>
        <w:ind w:left="430" w:right="40" w:hanging="317"/>
        <w:jc w:val="both"/>
        <w:rPr>
          <w:rFonts w:hAnsi="宋体" w:eastAsia="宋体" w:ascii="宋体"/>
          <w:sz w:val="12"/>
        </w:rPr>
      </w:pPr>
      <w:r>
        <w:rPr>
          <w:rFonts w:hAnsi="宋体" w:eastAsia="宋体" w:ascii="宋体"/>
          <w:color w:val="231F20"/>
          <w:sz w:val="12"/>
        </w:rPr>
        <w:t>胡斯利，扎勒夫斯基，贝克特，文塔，影响1147对哺乳动物引物跨物种扩增成功的设计因素，BMC Genomics 7 (2006) 253。</w:t>
      </w:r>
    </w:p>
    <w:p>
      <w:pPr>
        <w:pStyle w:val="ListParagraph"/>
        <w:numPr>
          <w:ilvl w:val="0"/>
          <w:numId w:val="2"/>
        </w:numPr>
        <w:tabs>
          <w:tab w:pos="431" w:val="left" w:leader="none"/>
        </w:tabs>
        <w:spacing w:line="266" w:lineRule="auto" w:before="0" w:after="0"/>
        <w:ind w:left="430" w:right="39" w:hanging="317"/>
        <w:jc w:val="both"/>
        <w:rPr>
          <w:rFonts w:hAnsi="宋体" w:eastAsia="宋体" w:ascii="宋体"/>
          <w:sz w:val="12"/>
        </w:rPr>
      </w:pPr>
      <w:r>
        <w:rPr>
          <w:rFonts w:hAnsi="宋体" w:eastAsia="宋体" w:ascii="宋体"/>
          <w:color w:val="231F20"/>
          <w:w w:val="105"/>
          <w:sz w:val="12"/>
        </w:rPr>
        <w:t>R.基因检测的软件支持，Proc Int Conf Intelt Syst Mol Biol 4(1996)68–77。</w:t>
      </w:r>
    </w:p>
    <w:p>
      <w:pPr>
        <w:pStyle w:val="ListParagraph"/>
        <w:numPr>
          <w:ilvl w:val="0"/>
          <w:numId w:val="2"/>
        </w:numPr>
        <w:tabs>
          <w:tab w:pos="441" w:val="left" w:leader="none"/>
        </w:tabs>
        <w:spacing w:line="266" w:lineRule="auto" w:before="0" w:after="0"/>
        <w:ind w:left="440" w:right="38" w:hanging="326"/>
        <w:jc w:val="both"/>
        <w:rPr>
          <w:rFonts w:hAnsi="宋体" w:eastAsia="宋体" w:ascii="宋体"/>
          <w:sz w:val="12"/>
        </w:rPr>
      </w:pPr>
      <w:r>
        <w:rPr>
          <w:rFonts w:hAnsi="宋体" w:eastAsia="宋体" w:ascii="宋体"/>
          <w:color w:val="231F20"/>
          <w:sz w:val="12"/>
        </w:rPr>
        <w:t>R.基于反转座子的基因分型和指纹识别。协议。1 (2006) 2478–2484.</w:t>
      </w:r>
    </w:p>
    <w:p>
      <w:pPr>
        <w:pStyle w:val="ListParagraph"/>
        <w:numPr>
          <w:ilvl w:val="0"/>
          <w:numId w:val="2"/>
        </w:numPr>
        <w:tabs>
          <w:tab w:pos="431" w:val="left" w:leader="none"/>
        </w:tabs>
        <w:spacing w:line="266" w:lineRule="auto" w:before="0" w:after="0"/>
        <w:ind w:left="430" w:right="40" w:hanging="317"/>
        <w:jc w:val="both"/>
        <w:rPr>
          <w:rFonts w:hAnsi="宋体" w:eastAsia="宋体" w:ascii="宋体"/>
          <w:sz w:val="12"/>
        </w:rPr>
      </w:pPr>
      <w:r>
        <w:rPr>
          <w:rFonts w:hAnsi="宋体" w:eastAsia="宋体" w:ascii="宋体"/>
          <w:color w:val="231F20"/>
          <w:sz w:val="12"/>
        </w:rPr>
        <w:t>脱氧核糖核酸中内部G-T错配的热力学和核磁共振，生物化学36(1997)10581–10594。</w:t>
      </w:r>
    </w:p>
    <w:p>
      <w:pPr>
        <w:pStyle w:val="ListParagraph"/>
        <w:numPr>
          <w:ilvl w:val="0"/>
          <w:numId w:val="2"/>
        </w:numPr>
        <w:tabs>
          <w:tab w:pos="441" w:val="left" w:leader="none"/>
        </w:tabs>
        <w:spacing w:line="264" w:lineRule="auto" w:before="0" w:after="0"/>
        <w:ind w:left="441" w:right="40" w:hanging="327"/>
        <w:jc w:val="both"/>
        <w:rPr>
          <w:rFonts w:hAnsi="宋体" w:eastAsia="宋体" w:ascii="宋体"/>
          <w:sz w:val="12"/>
        </w:rPr>
      </w:pPr>
      <w:r>
        <w:rPr>
          <w:rFonts w:hAnsi="宋体" w:eastAsia="宋体" w:ascii="宋体"/>
          <w:color w:val="231F20"/>
          <w:sz w:val="12"/>
        </w:rPr>
        <w:t>名词（noun的缩写）内错配DNA序列的最近邻热力学和核磁共振，生物化学38(1999)3468–3477。</w:t>
      </w:r>
    </w:p>
    <w:p>
      <w:pPr>
        <w:pStyle w:val="ListParagraph"/>
        <w:numPr>
          <w:ilvl w:val="0"/>
          <w:numId w:val="2"/>
        </w:numPr>
        <w:tabs>
          <w:tab w:pos="431" w:val="left" w:leader="none"/>
        </w:tabs>
        <w:spacing w:line="264" w:lineRule="auto" w:before="0" w:after="0"/>
        <w:ind w:left="430" w:right="39" w:hanging="317"/>
        <w:jc w:val="both"/>
        <w:rPr>
          <w:rFonts w:hAnsi="宋体" w:eastAsia="宋体" w:ascii="宋体"/>
          <w:sz w:val="12"/>
        </w:rPr>
      </w:pPr>
      <w:r>
        <w:rPr>
          <w:rFonts w:hAnsi="宋体" w:eastAsia="宋体" w:ascii="宋体"/>
          <w:color w:val="231F20"/>
          <w:sz w:val="12"/>
        </w:rPr>
        <w:t>聚合物、哑铃和寡核苷酸的最近邻热力学的统一观点。纳特。阿卡德。Sci。美国95(1998)1460–1465。</w:t>
      </w:r>
    </w:p>
    <w:p>
      <w:pPr>
        <w:pStyle w:val="ListParagraph"/>
        <w:numPr>
          <w:ilvl w:val="0"/>
          <w:numId w:val="2"/>
        </w:numPr>
        <w:tabs>
          <w:tab w:pos="431" w:val="left" w:leader="none"/>
        </w:tabs>
        <w:spacing w:line="264" w:lineRule="auto" w:before="0" w:after="0"/>
        <w:ind w:left="430" w:right="39" w:hanging="317"/>
        <w:jc w:val="both"/>
        <w:rPr>
          <w:rFonts w:hAnsi="宋体" w:eastAsia="宋体" w:ascii="宋体"/>
          <w:sz w:val="12"/>
        </w:rPr>
      </w:pPr>
      <w:r>
        <w:rPr>
          <w:rFonts w:hAnsi="宋体" w:eastAsia="宋体" w:ascii="宋体"/>
          <w:color w:val="231F20"/>
          <w:w w:val="105"/>
          <w:sz w:val="12"/>
        </w:rPr>
        <w:t>名词（noun的缩写）改进的热力学参数和螺旋起始因子预测DNA双链体的稳定性，核酸研究24(1996)4501–4505。</w:t>
      </w:r>
    </w:p>
    <w:p>
      <w:pPr>
        <w:pStyle w:val="ListParagraph"/>
        <w:numPr>
          <w:ilvl w:val="0"/>
          <w:numId w:val="2"/>
        </w:numPr>
        <w:tabs>
          <w:tab w:pos="431" w:val="left" w:leader="none"/>
        </w:tabs>
        <w:spacing w:line="264" w:lineRule="auto" w:before="3" w:after="0"/>
        <w:ind w:left="431" w:right="39" w:hanging="317"/>
        <w:jc w:val="both"/>
        <w:rPr>
          <w:rFonts w:hAnsi="宋体" w:eastAsia="宋体" w:ascii="宋体"/>
          <w:sz w:val="12"/>
        </w:rPr>
      </w:pPr>
      <w:r>
        <w:rPr>
          <w:rFonts w:hAnsi="宋体" w:eastAsia="宋体" w:ascii="宋体"/>
          <w:color w:val="231F20"/>
          <w:sz w:val="12"/>
        </w:rPr>
        <w:t>南《具有悬垂末端的DNA序列的热力学参数》，《核酸研究》第28期(2000)929-1934。</w:t>
      </w:r>
    </w:p>
    <w:p>
      <w:pPr>
        <w:pStyle w:val="ListParagraph"/>
        <w:numPr>
          <w:ilvl w:val="0"/>
          <w:numId w:val="2"/>
        </w:numPr>
        <w:tabs>
          <w:tab w:pos="432" w:val="left" w:leader="none"/>
        </w:tabs>
        <w:spacing w:line="266" w:lineRule="auto" w:before="1" w:after="0"/>
        <w:ind w:left="431" w:right="39" w:hanging="317"/>
        <w:jc w:val="both"/>
        <w:rPr>
          <w:rFonts w:hAnsi="宋体" w:eastAsia="宋体" w:ascii="宋体"/>
          <w:sz w:val="12"/>
        </w:rPr>
      </w:pPr>
      <w:r>
        <w:rPr>
          <w:rFonts w:hAnsi="宋体" w:eastAsia="宋体" w:ascii="宋体"/>
          <w:color w:val="231F20"/>
          <w:w w:val="105"/>
          <w:sz w:val="12"/>
        </w:rPr>
        <w:t>A.序列复杂性和DNA曲率，计算机与化学23(1999)263–274。</w:t>
      </w:r>
    </w:p>
    <w:p>
      <w:pPr>
        <w:pStyle w:val="ListParagraph"/>
        <w:numPr>
          <w:ilvl w:val="0"/>
          <w:numId w:val="2"/>
        </w:numPr>
        <w:tabs>
          <w:tab w:pos="432" w:val="left" w:leader="none"/>
        </w:tabs>
        <w:spacing w:line="266" w:lineRule="auto" w:before="0" w:after="0"/>
        <w:ind w:left="431" w:right="39" w:hanging="317"/>
        <w:jc w:val="both"/>
        <w:rPr>
          <w:rFonts w:hAnsi="宋体" w:eastAsia="宋体" w:ascii="宋体"/>
          <w:sz w:val="12"/>
        </w:rPr>
      </w:pPr>
      <w:r>
        <w:rPr>
          <w:rFonts w:hAnsi="宋体" w:eastAsia="宋体" w:ascii="宋体"/>
          <w:color w:val="231F20"/>
          <w:w w:val="105"/>
          <w:sz w:val="12"/>
        </w:rPr>
        <w:t>《复杂性:一个分析DNA序列复杂性的互联网资源》，《核酸研究》第32期(2004)W628–W633页。</w:t>
      </w:r>
    </w:p>
    <w:p>
      <w:pPr>
        <w:pStyle w:val="ListParagraph"/>
        <w:numPr>
          <w:ilvl w:val="0"/>
          <w:numId w:val="2"/>
        </w:numPr>
        <w:tabs>
          <w:tab w:pos="432" w:val="left" w:leader="none"/>
        </w:tabs>
        <w:spacing w:line="266" w:lineRule="auto" w:before="0" w:after="0"/>
        <w:ind w:left="431" w:right="38" w:hanging="317"/>
        <w:jc w:val="both"/>
        <w:rPr>
          <w:rFonts w:hAnsi="宋体" w:eastAsia="宋体" w:ascii="宋体"/>
          <w:sz w:val="12"/>
        </w:rPr>
      </w:pPr>
      <w:r>
        <w:rPr>
          <w:rFonts w:hAnsi="宋体" w:eastAsia="宋体" w:ascii="宋体"/>
          <w:color w:val="231F20"/>
          <w:sz w:val="12"/>
        </w:rPr>
        <w:t>何炳生，脱氧核糖核酸的非B-脱氧核糖核酸结构与Z-脱氧核糖核酸没有区别，程序。纳特。阿卡德。Sci。美国91(1994)9549–9553。</w:t>
      </w:r>
    </w:p>
    <w:p>
      <w:pPr>
        <w:pStyle w:val="ListParagraph"/>
        <w:numPr>
          <w:ilvl w:val="0"/>
          <w:numId w:val="2"/>
        </w:numPr>
        <w:tabs>
          <w:tab w:pos="432" w:val="left" w:leader="none"/>
        </w:tabs>
        <w:spacing w:line="143" w:lineRule="exact" w:before="0" w:after="0"/>
        <w:ind w:left="431" w:right="0" w:hanging="318"/>
        <w:jc w:val="both"/>
        <w:rPr>
          <w:rFonts w:hAnsi="宋体" w:eastAsia="宋体" w:ascii="宋体"/>
          <w:sz w:val="12"/>
        </w:rPr>
      </w:pPr>
      <w:r>
        <w:rPr>
          <w:rFonts w:hAnsi="宋体" w:eastAsia="宋体" w:ascii="宋体"/>
          <w:color w:val="231F20"/>
          <w:w w:val="105"/>
          <w:sz w:val="12"/>
        </w:rPr>
        <w:t>寡核苷酸的四链复合物</w:t>
      </w:r>
    </w:p>
    <w:p>
      <w:pPr>
        <w:spacing w:before="12"/>
        <w:ind w:left="431" w:right="0" w:firstLine="0"/>
        <w:jc w:val="both"/>
        <w:rPr>
          <w:rFonts w:hAnsi="宋体" w:eastAsia="宋体" w:ascii="宋体"/>
          <w:sz w:val="12"/>
        </w:rPr>
      </w:pPr>
      <w:r>
        <w:rPr>
          <w:rFonts w:hAnsi="宋体" w:eastAsia="宋体" w:ascii="宋体"/>
          <w:color w:val="231F20"/>
          <w:w w:val="105"/>
          <w:sz w:val="12"/>
        </w:rPr>
        <w:t>四链体，俄罗斯分子生物学杂志26(1992)512–531。</w:t>
      </w:r>
    </w:p>
    <w:p>
      <w:pPr>
        <w:pStyle w:val="ListParagraph"/>
        <w:numPr>
          <w:ilvl w:val="0"/>
          <w:numId w:val="2"/>
        </w:numPr>
        <w:tabs>
          <w:tab w:pos="432" w:val="left" w:leader="none"/>
        </w:tabs>
        <w:spacing w:line="264" w:lineRule="auto" w:before="16" w:after="0"/>
        <w:ind w:left="431" w:right="40" w:hanging="317"/>
        <w:jc w:val="both"/>
        <w:rPr>
          <w:rFonts w:hAnsi="宋体" w:eastAsia="宋体" w:ascii="宋体"/>
          <w:sz w:val="12"/>
        </w:rPr>
      </w:pPr>
      <w:r>
        <w:rPr>
          <w:rFonts w:hAnsi="宋体" w:eastAsia="宋体" w:ascii="宋体"/>
          <w:color w:val="231F20"/>
          <w:w w:val="105"/>
          <w:sz w:val="12"/>
        </w:rPr>
        <w:t>D.鸟嘌呤四重奏结构，酶方法。211 (1992) 191–199.</w:t>
      </w:r>
    </w:p>
    <w:p>
      <w:pPr>
        <w:pStyle w:val="ListParagraph"/>
        <w:numPr>
          <w:ilvl w:val="0"/>
          <w:numId w:val="2"/>
        </w:numPr>
        <w:tabs>
          <w:tab w:pos="432" w:val="left" w:leader="none"/>
        </w:tabs>
        <w:spacing w:line="240" w:lineRule="auto" w:before="1" w:after="0"/>
        <w:ind w:left="431" w:right="0" w:hanging="318"/>
        <w:jc w:val="both"/>
        <w:rPr>
          <w:rFonts w:hAnsi="宋体" w:eastAsia="宋体" w:ascii="宋体"/>
          <w:sz w:val="12"/>
        </w:rPr>
      </w:pPr>
      <w:r>
        <w:rPr>
          <w:rFonts w:hAnsi="宋体" w:eastAsia="宋体" w:ascii="宋体"/>
          <w:color w:val="231F20"/>
          <w:w w:val="105"/>
          <w:sz w:val="12"/>
        </w:rPr>
        <w:t>拉希瓦尔，福克斯，四链体熔化，方法43(2007)291–301。</w:t>
      </w:r>
    </w:p>
    <w:p>
      <w:pPr>
        <w:pStyle w:val="ListParagraph"/>
        <w:numPr>
          <w:ilvl w:val="0"/>
          <w:numId w:val="2"/>
        </w:numPr>
        <w:tabs>
          <w:tab w:pos="432" w:val="left" w:leader="none"/>
        </w:tabs>
        <w:spacing w:line="266" w:lineRule="auto" w:before="14" w:after="0"/>
        <w:ind w:left="431" w:right="40" w:hanging="317"/>
        <w:jc w:val="both"/>
        <w:rPr>
          <w:rFonts w:hAnsi="宋体" w:eastAsia="宋体" w:ascii="宋体"/>
          <w:sz w:val="12"/>
        </w:rPr>
      </w:pPr>
      <w:r>
        <w:rPr>
          <w:rFonts w:hAnsi="宋体" w:eastAsia="宋体" w:ascii="宋体"/>
          <w:color w:val="231F20"/>
          <w:w w:val="105"/>
          <w:sz w:val="12"/>
        </w:rPr>
        <w:t>南伯格，帕金森，p .黑兹尔，A.K .托德，k .内德尔，四链体DNA:序列，拓扑和结构，核酸研究34(2006)5402–5415。</w:t>
      </w:r>
    </w:p>
    <w:p>
      <w:pPr>
        <w:pStyle w:val="ListParagraph"/>
        <w:numPr>
          <w:ilvl w:val="0"/>
          <w:numId w:val="2"/>
        </w:numPr>
        <w:tabs>
          <w:tab w:pos="432" w:val="left" w:leader="none"/>
        </w:tabs>
        <w:spacing w:line="264" w:lineRule="auto" w:before="0" w:after="0"/>
        <w:ind w:left="431" w:right="39" w:hanging="317"/>
        <w:jc w:val="both"/>
        <w:rPr>
          <w:rFonts w:hAnsi="宋体" w:eastAsia="宋体" w:ascii="宋体"/>
          <w:sz w:val="12"/>
        </w:rPr>
      </w:pPr>
      <w:r>
        <w:rPr>
          <w:rFonts w:hAnsi="宋体" w:eastAsia="宋体" w:ascii="宋体"/>
          <w:color w:val="231F20"/>
          <w:sz w:val="12"/>
        </w:rPr>
        <w:t>A.盖丁，格罗，阿尔贝提，梅格尼，多长才算长？环大小对G-四链体稳定性的影响，核酸研究38(2010)7858–7868。</w:t>
      </w:r>
    </w:p>
    <w:p>
      <w:pPr>
        <w:pStyle w:val="ListParagraph"/>
        <w:numPr>
          <w:ilvl w:val="0"/>
          <w:numId w:val="2"/>
        </w:numPr>
        <w:tabs>
          <w:tab w:pos="432" w:val="left" w:leader="none"/>
        </w:tabs>
        <w:spacing w:line="264" w:lineRule="auto" w:before="1" w:after="0"/>
        <w:ind w:left="431" w:right="38" w:hanging="317"/>
        <w:jc w:val="both"/>
        <w:rPr>
          <w:rFonts w:hAnsi="宋体" w:eastAsia="宋体" w:ascii="宋体"/>
          <w:sz w:val="12"/>
        </w:rPr>
      </w:pPr>
      <w:r>
        <w:rPr>
          <w:rFonts w:hAnsi="宋体" w:eastAsia="宋体" w:ascii="宋体"/>
          <w:color w:val="231F20"/>
          <w:w w:val="95"/>
          <w:sz w:val="12"/>
        </w:rPr>
        <w:t>O.《预测和理解G-四链体的稳定性》，《生物信息学》25(2009)i374–i382。</w:t>
      </w:r>
      <w:bookmarkStart w:name="_bookmark18" w:id="48"/>
      <w:bookmarkEnd w:id="48"/>
    </w:p>
    <w:p>
      <w:pPr>
        <w:pStyle w:val="ListParagraph"/>
        <w:numPr>
          <w:ilvl w:val="0"/>
          <w:numId w:val="2"/>
        </w:numPr>
        <w:tabs>
          <w:tab w:pos="431" w:val="left" w:leader="none"/>
        </w:tabs>
        <w:spacing w:line="264" w:lineRule="auto" w:before="2" w:after="0"/>
        <w:ind w:left="430" w:right="40" w:hanging="317"/>
        <w:jc w:val="both"/>
        <w:rPr>
          <w:rFonts w:hAnsi="宋体" w:eastAsia="宋体" w:ascii="宋体"/>
          <w:sz w:val="12"/>
        </w:rPr>
      </w:pPr>
      <w:r>
        <w:rPr>
          <w:rFonts w:hAnsi="宋体" w:eastAsia="宋体" w:ascii="宋体"/>
          <w:color w:val="231F20"/>
          <w:spacing w:val="-4"/>
          <w:sz w:val="12"/>
        </w:rPr>
        <w:t>Y.《模板脱氧核糖核酸的区域化气相色谱含量作为聚合酶链反应成功的预测因子》，核酸研究31 (2003) e99。</w:t>
      </w:r>
      <w:bookmarkStart w:name="_bookmark19" w:id="49"/>
      <w:bookmarkEnd w:id="49"/>
    </w:p>
    <w:p>
      <w:pPr>
        <w:pStyle w:val="ListParagraph"/>
        <w:numPr>
          <w:ilvl w:val="0"/>
          <w:numId w:val="2"/>
        </w:numPr>
        <w:tabs>
          <w:tab w:pos="431" w:val="left" w:leader="none"/>
        </w:tabs>
        <w:spacing w:line="266" w:lineRule="auto" w:before="1" w:after="0"/>
        <w:ind w:left="430" w:right="41" w:hanging="317"/>
        <w:jc w:val="both"/>
        <w:rPr>
          <w:rFonts w:hAnsi="宋体" w:eastAsia="宋体" w:ascii="宋体"/>
          <w:sz w:val="12"/>
        </w:rPr>
      </w:pPr>
      <w:r>
        <w:rPr>
          <w:rFonts w:hAnsi="宋体" w:eastAsia="宋体" w:ascii="宋体"/>
          <w:color w:val="231F20"/>
          <w:w w:val="105"/>
          <w:sz w:val="12"/>
        </w:rPr>
        <w:t>R.《预测大基因组中聚合酶链反应的失败率》，《核酸研究》第36期(2008年)e66。</w:t>
      </w:r>
    </w:p>
    <w:p>
      <w:pPr>
        <w:pStyle w:val="ListParagraph"/>
        <w:numPr>
          <w:ilvl w:val="0"/>
          <w:numId w:val="2"/>
        </w:numPr>
        <w:tabs>
          <w:tab w:pos="431" w:val="left" w:leader="none"/>
        </w:tabs>
        <w:spacing w:line="264" w:lineRule="auto" w:before="0" w:after="0"/>
        <w:ind w:left="430" w:right="39" w:hanging="317"/>
        <w:jc w:val="both"/>
        <w:rPr>
          <w:rFonts w:hAnsi="宋体" w:eastAsia="宋体" w:ascii="宋体"/>
          <w:sz w:val="12"/>
        </w:rPr>
      </w:pPr>
      <w:r>
        <w:rPr>
          <w:rFonts w:hAnsi="宋体" w:eastAsia="宋体" w:ascii="宋体"/>
          <w:color w:val="231F20"/>
          <w:sz w:val="12"/>
        </w:rPr>
        <w:t>B.单核苷酸多态性和引物错配对定量聚合酶链反应影响的评估。9 (2009) 75.</w:t>
      </w:r>
    </w:p>
    <w:p>
      <w:pPr>
        <w:pStyle w:val="ListParagraph"/>
        <w:numPr>
          <w:ilvl w:val="0"/>
          <w:numId w:val="2"/>
        </w:numPr>
        <w:tabs>
          <w:tab w:pos="431" w:val="left" w:leader="none"/>
        </w:tabs>
        <w:spacing w:line="264" w:lineRule="auto" w:before="1" w:after="0"/>
        <w:ind w:left="430" w:right="39" w:hanging="317"/>
        <w:jc w:val="both"/>
        <w:rPr>
          <w:rFonts w:hAnsi="宋体" w:eastAsia="宋体" w:ascii="宋体"/>
          <w:sz w:val="12"/>
        </w:rPr>
      </w:pPr>
      <w:r>
        <w:rPr>
          <w:rFonts w:hAnsi="宋体" w:eastAsia="宋体" w:ascii="宋体"/>
          <w:color w:val="231F20"/>
          <w:w w:val="94"/>
          <w:sz w:val="12"/>
        </w:rPr>
        <w:t>《计算结合亲和力的统计热力学基础:一个批判性的评论》，生物物理学。j . 72(1997)1047-1069。</w:t>
      </w:r>
    </w:p>
    <w:p>
      <w:pPr>
        <w:pStyle w:val="ListParagraph"/>
        <w:numPr>
          <w:ilvl w:val="0"/>
          <w:numId w:val="2"/>
        </w:numPr>
        <w:tabs>
          <w:tab w:pos="431" w:val="left" w:leader="none"/>
        </w:tabs>
        <w:spacing w:line="266" w:lineRule="auto" w:before="108" w:after="0"/>
        <w:ind w:left="431" w:right="289" w:hanging="317"/>
        <w:jc w:val="both"/>
        <w:rPr>
          <w:rFonts w:hAnsi="宋体" w:eastAsia="宋体" w:ascii="宋体"/>
          <w:sz w:val="12"/>
        </w:rPr>
      </w:pPr>
      <w:r>
        <w:rPr>
          <w:rFonts w:hAnsi="宋体" w:eastAsia="宋体" w:ascii="宋体"/>
          <w:color w:val="231F20"/>
          <w:w w:val="91"/>
          <w:sz w:val="12"/>
        </w:rPr>
        <w:br w:type="column"/>
      </w:r>
      <w:r>
        <w:rPr>
          <w:rFonts w:hAnsi="宋体" w:eastAsia="宋体" w:ascii="宋体"/>
          <w:color w:val="231F20"/>
          <w:w w:val="105"/>
          <w:sz w:val="12"/>
        </w:rPr>
        <w:t>计算核酸双链体解链温度的免费工具，生物信息学17(2001)1226–1227。</w:t>
      </w:r>
    </w:p>
    <w:p>
      <w:pPr>
        <w:pStyle w:val="ListParagraph"/>
        <w:numPr>
          <w:ilvl w:val="0"/>
          <w:numId w:val="2"/>
        </w:numPr>
        <w:tabs>
          <w:tab w:pos="432" w:val="left" w:leader="none"/>
        </w:tabs>
        <w:spacing w:line="266" w:lineRule="auto" w:before="0" w:after="0"/>
        <w:ind w:left="431" w:right="288" w:hanging="317"/>
        <w:jc w:val="both"/>
        <w:rPr>
          <w:rFonts w:hAnsi="宋体" w:eastAsia="宋体" w:ascii="宋体"/>
          <w:sz w:val="12"/>
        </w:rPr>
      </w:pPr>
      <w:r>
        <w:rPr>
          <w:rFonts w:hAnsi="宋体" w:eastAsia="宋体" w:ascii="宋体"/>
          <w:color w:val="231F20"/>
          <w:sz w:val="12"/>
        </w:rPr>
        <w:t>脱氧肌苷对在DNA双链体中的最近邻热力学，核酸研究33(2005)6258–6267。</w:t>
      </w:r>
    </w:p>
    <w:p>
      <w:pPr>
        <w:pStyle w:val="ListParagraph"/>
        <w:numPr>
          <w:ilvl w:val="0"/>
          <w:numId w:val="2"/>
        </w:numPr>
        <w:tabs>
          <w:tab w:pos="432" w:val="left" w:leader="none"/>
        </w:tabs>
        <w:spacing w:line="266" w:lineRule="auto" w:before="0" w:after="0"/>
        <w:ind w:left="430" w:right="288" w:hanging="317"/>
        <w:jc w:val="both"/>
        <w:rPr>
          <w:rFonts w:hAnsi="宋体" w:eastAsia="宋体" w:ascii="宋体"/>
          <w:sz w:val="12"/>
        </w:rPr>
      </w:pPr>
      <w:r>
        <w:rPr>
          <w:rFonts w:hAnsi="宋体" w:eastAsia="宋体" w:ascii="宋体"/>
          <w:color w:val="231F20"/>
          <w:sz w:val="12"/>
        </w:rPr>
        <w:t>名词（noun的缩写）聚合酶链反应条件下的寡核苷酸熔化温度:Mg2+、脱氧核苷酸三磷酸和二甲基亚砜浓度的最近邻校正与替代经验公式的比较，Clin。化学。47 (2001) 1956–1961.</w:t>
      </w:r>
    </w:p>
    <w:p>
      <w:pPr>
        <w:pStyle w:val="ListParagraph"/>
        <w:numPr>
          <w:ilvl w:val="0"/>
          <w:numId w:val="2"/>
        </w:numPr>
        <w:tabs>
          <w:tab w:pos="431" w:val="left" w:leader="none"/>
        </w:tabs>
        <w:spacing w:line="264" w:lineRule="auto" w:before="0" w:after="0"/>
        <w:ind w:left="430" w:right="288" w:hanging="317"/>
        <w:jc w:val="both"/>
        <w:rPr>
          <w:rFonts w:hAnsi="宋体" w:eastAsia="宋体" w:ascii="宋体"/>
          <w:sz w:val="12"/>
        </w:rPr>
      </w:pPr>
      <w:r>
        <w:rPr>
          <w:rFonts w:hAnsi="宋体" w:eastAsia="宋体" w:ascii="宋体"/>
          <w:color w:val="231F20"/>
          <w:sz w:val="12"/>
        </w:rPr>
        <w:t>J.威尔士，麦克莱兰，使用任意引物的聚合酶链反应指纹基因组，核酸研究18(1990)7213–7218。</w:t>
      </w:r>
    </w:p>
    <w:p>
      <w:pPr>
        <w:pStyle w:val="ListParagraph"/>
        <w:numPr>
          <w:ilvl w:val="0"/>
          <w:numId w:val="2"/>
        </w:numPr>
        <w:tabs>
          <w:tab w:pos="431" w:val="left" w:leader="none"/>
        </w:tabs>
        <w:spacing w:line="264" w:lineRule="auto" w:before="0" w:after="0"/>
        <w:ind w:left="430" w:right="286" w:hanging="317"/>
        <w:jc w:val="both"/>
        <w:rPr>
          <w:rFonts w:hAnsi="宋体" w:eastAsia="宋体" w:ascii="宋体"/>
          <w:sz w:val="12"/>
        </w:rPr>
      </w:pPr>
      <w:r>
        <w:rPr>
          <w:rFonts w:hAnsi="宋体" w:eastAsia="宋体" w:ascii="宋体"/>
          <w:color w:val="231F20"/>
          <w:spacing w:val="-1"/>
          <w:w w:val="95"/>
          <w:sz w:val="12"/>
        </w:rPr>
        <w:t>由任意引物扩增的DNA多态性可用作遗传标记，核酸研究18(1990)6513–6535。</w:t>
      </w:r>
    </w:p>
    <w:p>
      <w:pPr>
        <w:pStyle w:val="ListParagraph"/>
        <w:numPr>
          <w:ilvl w:val="0"/>
          <w:numId w:val="2"/>
        </w:numPr>
        <w:tabs>
          <w:tab w:pos="431" w:val="left" w:leader="none"/>
        </w:tabs>
        <w:spacing w:line="264" w:lineRule="auto" w:before="0" w:after="0"/>
        <w:ind w:left="430" w:right="286" w:hanging="317"/>
        <w:jc w:val="both"/>
        <w:rPr>
          <w:rFonts w:hAnsi="宋体" w:eastAsia="宋体" w:ascii="宋体"/>
          <w:sz w:val="12"/>
        </w:rPr>
      </w:pPr>
      <w:r>
        <w:rPr>
          <w:rFonts w:hAnsi="宋体" w:eastAsia="宋体" w:ascii="宋体"/>
          <w:color w:val="231F20"/>
          <w:spacing w:val="-2"/>
          <w:sz w:val="12"/>
        </w:rPr>
        <w:t>张瑞林，欧多诺霍，环保局，基因多态性:一种基于转座子的高通量基因组作图和指纹分析方法，理论。应用基因。102 (2001) 773–781.</w:t>
      </w:r>
    </w:p>
    <w:p>
      <w:pPr>
        <w:pStyle w:val="ListParagraph"/>
        <w:numPr>
          <w:ilvl w:val="0"/>
          <w:numId w:val="2"/>
        </w:numPr>
        <w:tabs>
          <w:tab w:pos="431" w:val="left" w:leader="none"/>
        </w:tabs>
        <w:spacing w:line="266" w:lineRule="auto" w:before="0" w:after="0"/>
        <w:ind w:left="430" w:right="288" w:hanging="317"/>
        <w:jc w:val="both"/>
        <w:rPr>
          <w:rFonts w:hAnsi="宋体" w:eastAsia="宋体" w:ascii="宋体"/>
          <w:sz w:val="12"/>
        </w:rPr>
      </w:pPr>
      <w:r>
        <w:rPr>
          <w:rFonts w:hAnsi="宋体" w:eastAsia="宋体" w:ascii="宋体"/>
          <w:color w:val="231F20"/>
          <w:w w:val="105"/>
          <w:sz w:val="12"/>
        </w:rPr>
        <w:t>《偷渡者:与单子叶和双子叶植物基因相关的反向重复元件的新家族》，植物细胞6(1994)907–916。</w:t>
      </w:r>
    </w:p>
    <w:p>
      <w:pPr>
        <w:pStyle w:val="ListParagraph"/>
        <w:numPr>
          <w:ilvl w:val="0"/>
          <w:numId w:val="2"/>
        </w:numPr>
        <w:tabs>
          <w:tab w:pos="431" w:val="left" w:leader="none"/>
        </w:tabs>
        <w:spacing w:line="142" w:lineRule="exact" w:before="0" w:after="0"/>
        <w:ind w:left="431" w:right="0" w:hanging="317"/>
        <w:jc w:val="both"/>
        <w:rPr>
          <w:rFonts w:hAnsi="宋体" w:eastAsia="宋体" w:ascii="宋体"/>
          <w:sz w:val="12"/>
        </w:rPr>
      </w:pPr>
      <w:r>
        <w:rPr>
          <w:rFonts w:hAnsi="宋体" w:eastAsia="宋体" w:ascii="宋体"/>
          <w:color w:val="231F20"/>
          <w:sz w:val="12"/>
        </w:rPr>
        <w:t>纳尔逊，莱德贝特，科尔博，维多利亚，拉米雷斯-索利斯，韦伯斯特，</w:t>
      </w:r>
    </w:p>
    <w:p>
      <w:pPr>
        <w:spacing w:line="264" w:lineRule="auto" w:before="15"/>
        <w:ind w:left="430" w:right="288" w:firstLine="0"/>
        <w:jc w:val="both"/>
        <w:rPr>
          <w:rFonts w:hAnsi="宋体" w:eastAsia="宋体" w:ascii="宋体"/>
          <w:sz w:val="12"/>
        </w:rPr>
      </w:pPr>
      <w:r>
        <w:rPr>
          <w:rFonts w:hAnsi="宋体" w:eastAsia="宋体" w:ascii="宋体"/>
          <w:color w:val="231F20"/>
          <w:sz w:val="12"/>
        </w:rPr>
        <w:t>卡斯凯:一种从复杂的DNA来源中快速分离人类特异性DNA序列的方法。纳特。阿卡德。Sci。美国86(1989)6686–6690。</w:t>
      </w:r>
    </w:p>
    <w:p>
      <w:pPr>
        <w:pStyle w:val="ListParagraph"/>
        <w:numPr>
          <w:ilvl w:val="0"/>
          <w:numId w:val="2"/>
        </w:numPr>
        <w:tabs>
          <w:tab w:pos="435" w:val="left" w:leader="none"/>
        </w:tabs>
        <w:spacing w:line="266" w:lineRule="auto" w:before="1" w:after="0"/>
        <w:ind w:left="434" w:right="288" w:hanging="320"/>
        <w:jc w:val="both"/>
        <w:rPr>
          <w:rFonts w:hAnsi="宋体" w:eastAsia="宋体" w:ascii="宋体"/>
          <w:sz w:val="12"/>
        </w:rPr>
      </w:pPr>
      <w:r>
        <w:rPr>
          <w:rFonts w:hAnsi="宋体" w:eastAsia="宋体" w:ascii="宋体"/>
          <w:color w:val="231F20"/>
          <w:w w:val="94"/>
          <w:sz w:val="12"/>
        </w:rPr>
        <w:t>D.《利用Alu特异性引物通过聚合酶链式反应检测的人类DNA多态性》，基因组学7(1990)331–334。</w:t>
      </w:r>
    </w:p>
    <w:p>
      <w:pPr>
        <w:pStyle w:val="ListParagraph"/>
        <w:numPr>
          <w:ilvl w:val="0"/>
          <w:numId w:val="2"/>
        </w:numPr>
        <w:tabs>
          <w:tab w:pos="431" w:val="left" w:leader="none"/>
        </w:tabs>
        <w:spacing w:line="264" w:lineRule="auto" w:before="0" w:after="0"/>
        <w:ind w:left="430" w:right="288" w:hanging="317"/>
        <w:jc w:val="both"/>
        <w:rPr>
          <w:rFonts w:hAnsi="宋体" w:eastAsia="宋体" w:ascii="宋体"/>
          <w:sz w:val="12"/>
        </w:rPr>
      </w:pPr>
      <w:r>
        <w:rPr>
          <w:rFonts w:hAnsi="宋体" w:eastAsia="宋体" w:ascii="宋体"/>
          <w:color w:val="231F20"/>
          <w:sz w:val="12"/>
        </w:rPr>
        <w:t>J.Jurka，V.V. Kapitonov，A. Pavlicek，P. Klonowski，O. Kohany，J. Walichiewicz，Repbase update，真核重复元件数据库，Cytogentic和Genome RES . 110(2005)462–467。</w:t>
      </w:r>
    </w:p>
    <w:p>
      <w:pPr>
        <w:pStyle w:val="ListParagraph"/>
        <w:numPr>
          <w:ilvl w:val="0"/>
          <w:numId w:val="2"/>
        </w:numPr>
        <w:tabs>
          <w:tab w:pos="431" w:val="left" w:leader="none"/>
        </w:tabs>
        <w:spacing w:line="266" w:lineRule="auto" w:before="1" w:after="0"/>
        <w:ind w:left="431" w:right="289" w:hanging="317"/>
        <w:jc w:val="both"/>
        <w:rPr>
          <w:rFonts w:hAnsi="宋体" w:eastAsia="宋体" w:ascii="宋体"/>
          <w:sz w:val="12"/>
        </w:rPr>
      </w:pPr>
      <w:r>
        <w:rPr>
          <w:rFonts w:hAnsi="宋体" w:eastAsia="宋体" w:ascii="宋体"/>
          <w:color w:val="231F20"/>
          <w:spacing w:val="-1"/>
          <w:w w:val="105"/>
          <w:sz w:val="12"/>
        </w:rPr>
        <w:t>基因剪接和聚合酶链反应驱动的重叠延伸诱变。协议。2 (2007) 924–932.</w:t>
      </w:r>
    </w:p>
    <w:p>
      <w:pPr>
        <w:pStyle w:val="ListParagraph"/>
        <w:numPr>
          <w:ilvl w:val="0"/>
          <w:numId w:val="2"/>
        </w:numPr>
        <w:tabs>
          <w:tab w:pos="437" w:val="left" w:leader="none"/>
        </w:tabs>
        <w:spacing w:line="266" w:lineRule="auto" w:before="0" w:after="0"/>
        <w:ind w:left="436" w:right="288" w:hanging="323"/>
        <w:jc w:val="both"/>
        <w:rPr>
          <w:rFonts w:hAnsi="宋体" w:eastAsia="宋体" w:ascii="宋体"/>
          <w:sz w:val="12"/>
        </w:rPr>
      </w:pPr>
      <w:r>
        <w:rPr>
          <w:rFonts w:hAnsi="宋体" w:eastAsia="宋体" w:ascii="宋体"/>
          <w:color w:val="231F20"/>
          <w:sz w:val="12"/>
        </w:rPr>
        <w:t>K.序列标记位点的有序连锁和通过测序进行的多重单核苷酸多态性基因分型，核酸研究30 (2002) e11。</w:t>
      </w:r>
    </w:p>
    <w:p>
      <w:pPr>
        <w:pStyle w:val="ListParagraph"/>
        <w:numPr>
          <w:ilvl w:val="0"/>
          <w:numId w:val="2"/>
        </w:numPr>
        <w:tabs>
          <w:tab w:pos="432" w:val="left" w:leader="none"/>
        </w:tabs>
        <w:spacing w:line="266" w:lineRule="auto" w:before="0" w:after="0"/>
        <w:ind w:left="431" w:right="289" w:hanging="317"/>
        <w:jc w:val="both"/>
        <w:rPr>
          <w:rFonts w:hAnsi="宋体" w:eastAsia="宋体" w:ascii="宋体"/>
          <w:sz w:val="12"/>
        </w:rPr>
      </w:pPr>
      <w:r>
        <w:rPr>
          <w:rFonts w:hAnsi="宋体" w:eastAsia="宋体" w:ascii="宋体"/>
          <w:color w:val="231F20"/>
          <w:sz w:val="12"/>
        </w:rPr>
        <w:t>J.全，田俊杰，复杂基因文库和途径的环状聚合酶延伸克隆，公共科学图书馆综合4 (2009) e6441。</w:t>
      </w:r>
    </w:p>
    <w:p>
      <w:pPr>
        <w:pStyle w:val="ListParagraph"/>
        <w:numPr>
          <w:ilvl w:val="0"/>
          <w:numId w:val="2"/>
        </w:numPr>
        <w:tabs>
          <w:tab w:pos="432" w:val="left" w:leader="none"/>
        </w:tabs>
        <w:spacing w:line="266" w:lineRule="auto" w:before="0" w:after="0"/>
        <w:ind w:left="431" w:right="288" w:hanging="317"/>
        <w:jc w:val="both"/>
        <w:rPr>
          <w:rFonts w:hAnsi="宋体" w:eastAsia="宋体" w:ascii="宋体"/>
          <w:sz w:val="12"/>
        </w:rPr>
      </w:pPr>
      <w:r>
        <w:rPr>
          <w:rFonts w:hAnsi="宋体" w:eastAsia="宋体" w:ascii="宋体"/>
          <w:color w:val="231F20"/>
          <w:sz w:val="12"/>
        </w:rPr>
        <w:t>米（meter的缩写））《用于基因合成的快速、灵活的寡核苷酸设计软件》，核酸研究37(2009)W214–W221。</w:t>
      </w:r>
    </w:p>
    <w:p>
      <w:pPr>
        <w:pStyle w:val="ListParagraph"/>
        <w:numPr>
          <w:ilvl w:val="0"/>
          <w:numId w:val="2"/>
        </w:numPr>
        <w:tabs>
          <w:tab w:pos="432" w:val="left" w:leader="none"/>
        </w:tabs>
        <w:spacing w:line="264" w:lineRule="auto" w:before="0" w:after="0"/>
        <w:ind w:left="431" w:right="288" w:hanging="317"/>
        <w:jc w:val="both"/>
        <w:rPr>
          <w:rFonts w:hAnsi="宋体" w:eastAsia="宋体" w:ascii="宋体"/>
          <w:sz w:val="12"/>
        </w:rPr>
      </w:pPr>
      <w:r>
        <w:rPr>
          <w:rFonts w:hAnsi="宋体" w:eastAsia="宋体" w:ascii="宋体"/>
          <w:color w:val="231F20"/>
          <w:w w:val="105"/>
          <w:sz w:val="12"/>
        </w:rPr>
        <w:t>Y.雷，，两步全基因合成法，核酸研究32 (2004) e59。</w:t>
      </w:r>
    </w:p>
    <w:p>
      <w:pPr>
        <w:pStyle w:val="ListParagraph"/>
        <w:numPr>
          <w:ilvl w:val="0"/>
          <w:numId w:val="2"/>
        </w:numPr>
        <w:tabs>
          <w:tab w:pos="432" w:val="left" w:leader="none"/>
        </w:tabs>
        <w:spacing w:line="264" w:lineRule="auto" w:before="0" w:after="0"/>
        <w:ind w:left="431" w:right="288" w:hanging="317"/>
        <w:jc w:val="both"/>
        <w:rPr>
          <w:rFonts w:hAnsi="宋体" w:eastAsia="宋体" w:ascii="宋体"/>
          <w:sz w:val="12"/>
        </w:rPr>
      </w:pPr>
      <w:r>
        <w:rPr>
          <w:rFonts w:hAnsi="宋体" w:eastAsia="宋体" w:ascii="宋体"/>
          <w:color w:val="231F20"/>
          <w:spacing w:val="-2"/>
          <w:sz w:val="12"/>
        </w:rPr>
        <w:t>《体外基因合成的寡核苷酸设计》，核酸研究32(2004)W176–W180。</w:t>
      </w:r>
    </w:p>
    <w:p>
      <w:pPr>
        <w:pStyle w:val="ListParagraph"/>
        <w:numPr>
          <w:ilvl w:val="0"/>
          <w:numId w:val="2"/>
        </w:numPr>
        <w:tabs>
          <w:tab w:pos="432" w:val="left" w:leader="none"/>
        </w:tabs>
        <w:spacing w:line="264" w:lineRule="auto" w:before="0" w:after="0"/>
        <w:ind w:left="431" w:right="288" w:hanging="317"/>
        <w:jc w:val="both"/>
        <w:rPr>
          <w:rFonts w:hAnsi="宋体" w:eastAsia="宋体" w:ascii="宋体"/>
          <w:sz w:val="12"/>
        </w:rPr>
      </w:pPr>
      <w:r>
        <w:rPr>
          <w:rFonts w:hAnsi="宋体" w:eastAsia="宋体" w:ascii="宋体"/>
          <w:color w:val="231F20"/>
          <w:sz w:val="12"/>
        </w:rPr>
        <w:t>A.尤耶夫，黄，波尔，帕奇，沃森，贝尔，唐纳森，菲利普斯，博伊斯-杰辛诺，用统计模型预测引物延伸基因分型分析的成功，核酸研究30 (2002) e131。</w:t>
      </w:r>
    </w:p>
    <w:p>
      <w:pPr>
        <w:pStyle w:val="ListParagraph"/>
        <w:numPr>
          <w:ilvl w:val="0"/>
          <w:numId w:val="2"/>
        </w:numPr>
        <w:tabs>
          <w:tab w:pos="432" w:val="left" w:leader="none"/>
        </w:tabs>
        <w:spacing w:line="264" w:lineRule="auto" w:before="0" w:after="0"/>
        <w:ind w:left="431" w:right="288" w:hanging="317"/>
        <w:jc w:val="both"/>
        <w:rPr>
          <w:rFonts w:hAnsi="宋体" w:eastAsia="宋体" w:ascii="宋体"/>
          <w:sz w:val="12"/>
        </w:rPr>
      </w:pPr>
      <w:r>
        <w:rPr>
          <w:rFonts w:hAnsi="宋体" w:eastAsia="宋体" w:ascii="宋体"/>
          <w:color w:val="231F20"/>
          <w:w w:val="105"/>
          <w:sz w:val="12"/>
        </w:rPr>
        <w:t>《用于增强引物设计的转录组和基因组计算机聚合酶链反应》，生物信息学20(2004)2399–2400。</w:t>
      </w:r>
    </w:p>
    <w:p>
      <w:pPr>
        <w:pStyle w:val="ListParagraph"/>
        <w:numPr>
          <w:ilvl w:val="0"/>
          <w:numId w:val="2"/>
        </w:numPr>
        <w:tabs>
          <w:tab w:pos="432" w:val="left" w:leader="none"/>
        </w:tabs>
        <w:spacing w:line="264" w:lineRule="auto" w:before="0" w:after="0"/>
        <w:ind w:left="431" w:right="288" w:hanging="317"/>
        <w:jc w:val="both"/>
        <w:rPr>
          <w:rFonts w:hAnsi="宋体" w:eastAsia="宋体" w:ascii="宋体"/>
          <w:sz w:val="12"/>
        </w:rPr>
      </w:pPr>
      <w:r>
        <w:rPr>
          <w:rFonts w:hAnsi="宋体" w:eastAsia="宋体" w:ascii="宋体"/>
          <w:color w:val="231F20"/>
          <w:w w:val="95"/>
          <w:sz w:val="12"/>
        </w:rPr>
        <w:t>Y.曹立军，王立军，徐克军，寇春英，张光伟，何建军，王立军，赵立军，基于信息论的全基因组序列模板PCR产物计算机预测算法，BMC生物信息学6 (2005) 190。</w:t>
      </w:r>
    </w:p>
    <w:p>
      <w:pPr>
        <w:pStyle w:val="ListParagraph"/>
        <w:numPr>
          <w:ilvl w:val="0"/>
          <w:numId w:val="2"/>
        </w:numPr>
        <w:tabs>
          <w:tab w:pos="432" w:val="left" w:leader="none"/>
        </w:tabs>
        <w:spacing w:line="264" w:lineRule="auto" w:before="3" w:after="0"/>
        <w:ind w:left="431" w:right="288" w:hanging="317"/>
        <w:jc w:val="both"/>
        <w:rPr>
          <w:rFonts w:hAnsi="宋体" w:eastAsia="宋体" w:ascii="宋体"/>
          <w:sz w:val="12"/>
        </w:rPr>
      </w:pPr>
      <w:r>
        <w:rPr>
          <w:rFonts w:hAnsi="宋体" w:eastAsia="宋体" w:ascii="宋体"/>
          <w:color w:val="231F20"/>
          <w:sz w:val="12"/>
        </w:rPr>
        <w:t>E.使用复杂模板的聚合酶链反应的数学模型和计算机模拟，核酸研究24(1996)3538–3545。</w:t>
      </w:r>
    </w:p>
    <w:p>
      <w:pPr>
        <w:pStyle w:val="ListParagraph"/>
        <w:numPr>
          <w:ilvl w:val="0"/>
          <w:numId w:val="2"/>
        </w:numPr>
        <w:tabs>
          <w:tab w:pos="432" w:val="left" w:leader="none"/>
        </w:tabs>
        <w:spacing w:line="264" w:lineRule="auto" w:before="1" w:after="0"/>
        <w:ind w:left="431" w:right="288" w:hanging="317"/>
        <w:jc w:val="both"/>
        <w:rPr>
          <w:rFonts w:hAnsi="宋体" w:eastAsia="宋体" w:ascii="宋体"/>
          <w:sz w:val="12"/>
        </w:rPr>
      </w:pPr>
      <w:r>
        <w:rPr>
          <w:rFonts w:hAnsi="宋体" w:eastAsia="宋体" w:ascii="宋体"/>
          <w:color w:val="231F20"/>
          <w:w w:val="105"/>
          <w:sz w:val="12"/>
        </w:rPr>
        <w:t>米（meter的缩写））莱克萨，g .瓦莱，PRIMEX:全基因组寡核苷酸匹配的快速鉴定，生物信息学19(2003)2486–2488。</w:t>
      </w:r>
    </w:p>
    <w:p>
      <w:pPr>
        <w:pStyle w:val="ListParagraph"/>
        <w:numPr>
          <w:ilvl w:val="0"/>
          <w:numId w:val="2"/>
        </w:numPr>
        <w:tabs>
          <w:tab w:pos="432" w:val="left" w:leader="none"/>
        </w:tabs>
        <w:spacing w:line="264" w:lineRule="auto" w:before="1" w:after="0"/>
        <w:ind w:left="431" w:right="288" w:hanging="317"/>
        <w:jc w:val="both"/>
        <w:rPr>
          <w:rFonts w:hAnsi="宋体" w:eastAsia="宋体" w:ascii="宋体"/>
          <w:sz w:val="12"/>
        </w:rPr>
      </w:pPr>
      <w:r>
        <w:rPr>
          <w:rFonts w:hAnsi="宋体" w:eastAsia="宋体" w:ascii="宋体"/>
          <w:color w:val="231F20"/>
          <w:sz w:val="12"/>
        </w:rPr>
        <w:t>K.全基因组序列对大肠杆菌随机聚合酶链反应产物序列的预测，核酸研究28(2000)1879–1884。</w:t>
      </w:r>
    </w:p>
    <w:sectPr>
      <w:type w:val="continuous"/>
      <w:pgSz w:w="11910" w:h="15880"/>
      <w:pgMar w:header="688" w:footer="0" w:top="640" w:bottom="280" w:left="560" w:right="560"/>
      <w:cols w:num="2" w:equalWidth="0">
        <w:col w:w="5178" w:space="182"/>
        <w:col w:w="543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roman"/>
    <w:pitch w:val="variable"/>
  </w:font>
  <w:font w:name="Euclid">
    <w:altName w:val="Euclid"/>
    <w:charset w:val="1"/>
    <w:family w:val="roman"/>
    <w:pitch w:val="variable"/>
  </w:font>
  <w:font w:name="Bernard MT Condensed">
    <w:altName w:val="Bernard MT Condensed"/>
    <w:charset w:val="1"/>
    <w:family w:val="roman"/>
    <w:pitch w:val="variable"/>
  </w:font>
  <w:font w:name="Century Gothic">
    <w:altName w:val="Century Gothic"/>
    <w:charset w:val="1"/>
    <w:family w:val="swiss"/>
    <w:pitch w:val="variable"/>
  </w:font>
  <w:font w:name="Arial Unicode MS">
    <w:altName w:val="Arial Unicode MS"/>
    <w:charset w:val="1"/>
    <w:family w:val="swiss"/>
    <w:pitch w:val="variable"/>
  </w:font>
  <w:font w:name="Lucida Sans Unicode">
    <w:altName w:val="Lucida Sans Unicode"/>
    <w:charset w:val="1"/>
    <w:family w:val="swiss"/>
    <w:pitch w:val="variable"/>
  </w:font>
  <w:font w:name="Century">
    <w:altName w:val="Century"/>
    <w:charset w:val="1"/>
    <w:family w:val="roman"/>
    <w:pitch w:val="variable"/>
  </w:font>
  <w:font w:name="Cambria">
    <w:altName w:val="Cambria"/>
    <w:charset w:val="1"/>
    <w:family w:val="roman"/>
    <w:pitch w:val="variable"/>
  </w:font>
  <w:font w:name="Microsoft Sans Serif">
    <w:altName w:val="Microsoft Sans Serif"/>
    <w:charset w:val="1"/>
    <w:family w:val="swiss"/>
    <w:pitch w:val="variable"/>
  </w:font>
  <w:font w:name="Tahoma">
    <w:altName w:val="Tahoma"/>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32246pt;margin-top:35.557808pt;width:17.95pt;height:9.85pt;mso-position-horizontal-relative:page;mso-position-vertical-relative:page;z-index:-16675840" type="#_x0000_t202" id="docshape13" filled="false" stroked="false">
          <v:textbox inset="0,0,0,0">
            <w:txbxContent>
              <w:p>
                <w:pPr>
                  <w:spacing w:before="26"/>
                  <w:ind w:left="60" w:right="0" w:firstLine="0"/>
                  <w:jc w:val="left"/>
                  <w:rPr>
                    <w:sz w:val="12"/>
                  </w:rPr>
                </w:pPr>
                <w:r>
                  <w:rPr/>
                  <w:fldChar w:fldCharType="begin"/>
                </w:r>
                <w:r>
                  <w:rPr>
                    <w:color w:val="231F20"/>
                    <w:w w:val="110"/>
                    <w:sz w:val="12"/>
                  </w:rPr>
                  <w:instrText> PAGE </w:instrText>
                </w:r>
                <w:r>
                  <w:rPr/>
                  <w:fldChar w:fldCharType="separate"/>
                </w:r>
                <w:r>
                  <w:rPr/>
                  <w:t>138</w:t>
                </w:r>
                <w:r>
                  <w:rPr/>
                  <w:fldChar w:fldCharType="end"/>
                </w:r>
              </w:p>
            </w:txbxContent>
          </v:textbox>
          <w10:wrap type="none"/>
        </v:shape>
      </w:pict>
    </w:r>
    <w:r>
      <w:rPr/>
      <w:pict>
        <v:shape style="position:absolute;margin-left:222.371063pt;margin-top:35.627945pt;width:141.8pt;height:9.65pt;mso-position-horizontal-relative:page;mso-position-vertical-relative:page;z-index:-16675328" type="#_x0000_t202" id="docshape14" filled="false" stroked="false">
          <v:textbox inset="0,0,0,0">
            <w:txbxContent>
              <w:p>
                <w:pPr>
                  <w:spacing w:before="29"/>
                  <w:ind w:left="20" w:right="0" w:firstLine="0"/>
                  <w:jc w:val="left"/>
                  <w:rPr>
                    <w:rFonts w:ascii="Cambria" w:hAnsi="Cambria"/>
                    <w:i/>
                    <w:sz w:val="12"/>
                  </w:rPr>
                </w:pPr>
                <w:r>
                  <w:rPr>
                    <w:rFonts w:ascii="Cambria" w:hAnsi="Cambria"/>
                    <w:i/>
                    <w:color w:val="231F20"/>
                    <w:w w:val="110"/>
                    <w:sz w:val="12"/>
                  </w:rPr>
                  <w:t>R.</w:t>
                </w:r>
                <w:r>
                  <w:rPr>
                    <w:rFonts w:ascii="Cambria" w:hAnsi="Cambria"/>
                    <w:i/>
                    <w:color w:val="231F20"/>
                    <w:spacing w:val="15"/>
                    <w:w w:val="110"/>
                    <w:sz w:val="12"/>
                  </w:rPr>
                  <w:t> </w:t>
                </w:r>
                <w:r>
                  <w:rPr>
                    <w:rFonts w:ascii="Cambria" w:hAnsi="Cambria"/>
                    <w:i/>
                    <w:color w:val="231F20"/>
                    <w:w w:val="110"/>
                    <w:sz w:val="12"/>
                  </w:rPr>
                  <w:t>Kalendar</w:t>
                </w:r>
                <w:r>
                  <w:rPr>
                    <w:rFonts w:ascii="Cambria" w:hAnsi="Cambria"/>
                    <w:i/>
                    <w:color w:val="231F20"/>
                    <w:spacing w:val="15"/>
                    <w:w w:val="110"/>
                    <w:sz w:val="12"/>
                  </w:rPr>
                  <w:t> </w:t>
                </w:r>
                <w:r>
                  <w:rPr>
                    <w:rFonts w:ascii="Cambria" w:hAnsi="Cambria"/>
                    <w:i/>
                    <w:color w:val="231F20"/>
                    <w:w w:val="110"/>
                    <w:sz w:val="12"/>
                  </w:rPr>
                  <w:t>et</w:t>
                </w:r>
                <w:r>
                  <w:rPr>
                    <w:rFonts w:ascii="Cambria" w:hAnsi="Cambria"/>
                    <w:i/>
                    <w:color w:val="231F20"/>
                    <w:spacing w:val="14"/>
                    <w:w w:val="110"/>
                    <w:sz w:val="12"/>
                  </w:rPr>
                  <w:t> </w:t>
                </w:r>
                <w:r>
                  <w:rPr>
                    <w:rFonts w:ascii="Cambria" w:hAnsi="Cambria"/>
                    <w:i/>
                    <w:color w:val="231F20"/>
                    <w:w w:val="110"/>
                    <w:sz w:val="12"/>
                  </w:rPr>
                  <w:t>al.</w:t>
                </w:r>
                <w:r>
                  <w:rPr>
                    <w:rFonts w:ascii="Cambria" w:hAnsi="Cambria"/>
                    <w:i/>
                    <w:color w:val="231F20"/>
                    <w:spacing w:val="14"/>
                    <w:w w:val="110"/>
                    <w:sz w:val="12"/>
                  </w:rPr>
                  <w:t> </w:t>
                </w:r>
                <w:r>
                  <w:rPr>
                    <w:rFonts w:ascii="Cambria" w:hAnsi="Cambria"/>
                    <w:i/>
                    <w:color w:val="231F20"/>
                    <w:w w:val="105"/>
                    <w:sz w:val="12"/>
                  </w:rPr>
                  <w:t>/</w:t>
                </w:r>
                <w:r>
                  <w:rPr>
                    <w:rFonts w:ascii="Cambria" w:hAnsi="Cambria"/>
                    <w:i/>
                    <w:color w:val="231F20"/>
                    <w:spacing w:val="16"/>
                    <w:w w:val="105"/>
                    <w:sz w:val="12"/>
                  </w:rPr>
                  <w:t> </w:t>
                </w:r>
                <w:r>
                  <w:rPr>
                    <w:rFonts w:ascii="Cambria" w:hAnsi="Cambria"/>
                    <w:i/>
                    <w:color w:val="231F20"/>
                    <w:w w:val="110"/>
                    <w:sz w:val="12"/>
                  </w:rPr>
                  <w:t>Genomics</w:t>
                </w:r>
                <w:r>
                  <w:rPr>
                    <w:rFonts w:ascii="Cambria" w:hAnsi="Cambria"/>
                    <w:i/>
                    <w:color w:val="231F20"/>
                    <w:spacing w:val="14"/>
                    <w:w w:val="110"/>
                    <w:sz w:val="12"/>
                  </w:rPr>
                  <w:t> </w:t>
                </w:r>
                <w:r>
                  <w:rPr>
                    <w:rFonts w:ascii="Cambria" w:hAnsi="Cambria"/>
                    <w:i/>
                    <w:color w:val="231F20"/>
                    <w:w w:val="110"/>
                    <w:sz w:val="12"/>
                  </w:rPr>
                  <w:t>98</w:t>
                </w:r>
                <w:r>
                  <w:rPr>
                    <w:rFonts w:ascii="Cambria" w:hAnsi="Cambria"/>
                    <w:i/>
                    <w:color w:val="231F20"/>
                    <w:spacing w:val="15"/>
                    <w:w w:val="110"/>
                    <w:sz w:val="12"/>
                  </w:rPr>
                  <w:t> </w:t>
                </w:r>
                <w:r>
                  <w:rPr>
                    <w:rFonts w:ascii="Cambria" w:hAnsi="Cambria"/>
                    <w:i/>
                    <w:color w:val="231F20"/>
                    <w:w w:val="110"/>
                    <w:sz w:val="12"/>
                  </w:rPr>
                  <w:t>(2011)</w:t>
                </w:r>
                <w:r>
                  <w:rPr>
                    <w:rFonts w:ascii="Cambria" w:hAnsi="Cambria"/>
                    <w:i/>
                    <w:color w:val="231F20"/>
                    <w:spacing w:val="15"/>
                    <w:w w:val="110"/>
                    <w:sz w:val="12"/>
                  </w:rPr>
                  <w:t> </w:t>
                </w:r>
                <w:r>
                  <w:rPr>
                    <w:rFonts w:ascii="Cambria" w:hAnsi="Cambria"/>
                    <w:i/>
                    <w:color w:val="231F20"/>
                    <w:w w:val="110"/>
                    <w:sz w:val="12"/>
                  </w:rPr>
                  <w:t>137</w:t>
                </w:r>
                <w:r>
                  <w:rPr>
                    <w:rFonts w:ascii="Arial" w:hAnsi="Arial"/>
                    <w:color w:val="231F20"/>
                    <w:w w:val="110"/>
                    <w:sz w:val="12"/>
                  </w:rPr>
                  <w:t>–</w:t>
                </w:r>
                <w:r>
                  <w:rPr>
                    <w:rFonts w:ascii="Cambria" w:hAnsi="Cambria"/>
                    <w:i/>
                    <w:color w:val="231F20"/>
                    <w:w w:val="110"/>
                    <w:sz w:val="12"/>
                  </w:rPr>
                  <w:t>144</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1.15744pt;margin-top:35.627762pt;width:141.8pt;height:9.65pt;mso-position-horizontal-relative:page;mso-position-vertical-relative:page;z-index:-16674816" type="#_x0000_t202" id="docshape15" filled="false" stroked="false">
          <v:textbox inset="0,0,0,0">
            <w:txbxContent>
              <w:p>
                <w:pPr>
                  <w:spacing w:before="29"/>
                  <w:ind w:left="20" w:right="0" w:firstLine="0"/>
                  <w:jc w:val="left"/>
                  <w:rPr>
                    <w:rFonts w:ascii="Cambria" w:hAnsi="Cambria"/>
                    <w:i/>
                    <w:sz w:val="12"/>
                  </w:rPr>
                </w:pPr>
                <w:r>
                  <w:rPr>
                    <w:rFonts w:ascii="Cambria" w:hAnsi="Cambria"/>
                    <w:i/>
                    <w:color w:val="231F20"/>
                    <w:w w:val="110"/>
                    <w:sz w:val="12"/>
                  </w:rPr>
                  <w:t>R.</w:t>
                </w:r>
                <w:r>
                  <w:rPr>
                    <w:rFonts w:ascii="Cambria" w:hAnsi="Cambria"/>
                    <w:i/>
                    <w:color w:val="231F20"/>
                    <w:spacing w:val="15"/>
                    <w:w w:val="110"/>
                    <w:sz w:val="12"/>
                  </w:rPr>
                  <w:t> </w:t>
                </w:r>
                <w:r>
                  <w:rPr>
                    <w:rFonts w:ascii="Cambria" w:hAnsi="Cambria"/>
                    <w:i/>
                    <w:color w:val="231F20"/>
                    <w:w w:val="110"/>
                    <w:sz w:val="12"/>
                  </w:rPr>
                  <w:t>Kalendar</w:t>
                </w:r>
                <w:r>
                  <w:rPr>
                    <w:rFonts w:ascii="Cambria" w:hAnsi="Cambria"/>
                    <w:i/>
                    <w:color w:val="231F20"/>
                    <w:spacing w:val="15"/>
                    <w:w w:val="110"/>
                    <w:sz w:val="12"/>
                  </w:rPr>
                  <w:t> </w:t>
                </w:r>
                <w:r>
                  <w:rPr>
                    <w:rFonts w:ascii="Cambria" w:hAnsi="Cambria"/>
                    <w:i/>
                    <w:color w:val="231F20"/>
                    <w:w w:val="110"/>
                    <w:sz w:val="12"/>
                  </w:rPr>
                  <w:t>et</w:t>
                </w:r>
                <w:r>
                  <w:rPr>
                    <w:rFonts w:ascii="Cambria" w:hAnsi="Cambria"/>
                    <w:i/>
                    <w:color w:val="231F20"/>
                    <w:spacing w:val="14"/>
                    <w:w w:val="110"/>
                    <w:sz w:val="12"/>
                  </w:rPr>
                  <w:t> </w:t>
                </w:r>
                <w:r>
                  <w:rPr>
                    <w:rFonts w:ascii="Cambria" w:hAnsi="Cambria"/>
                    <w:i/>
                    <w:color w:val="231F20"/>
                    <w:w w:val="110"/>
                    <w:sz w:val="12"/>
                  </w:rPr>
                  <w:t>al.</w:t>
                </w:r>
                <w:r>
                  <w:rPr>
                    <w:rFonts w:ascii="Cambria" w:hAnsi="Cambria"/>
                    <w:i/>
                    <w:color w:val="231F20"/>
                    <w:spacing w:val="14"/>
                    <w:w w:val="110"/>
                    <w:sz w:val="12"/>
                  </w:rPr>
                  <w:t> </w:t>
                </w:r>
                <w:r>
                  <w:rPr>
                    <w:rFonts w:ascii="Cambria" w:hAnsi="Cambria"/>
                    <w:i/>
                    <w:color w:val="231F20"/>
                    <w:w w:val="105"/>
                    <w:sz w:val="12"/>
                  </w:rPr>
                  <w:t>/</w:t>
                </w:r>
                <w:r>
                  <w:rPr>
                    <w:rFonts w:ascii="Cambria" w:hAnsi="Cambria"/>
                    <w:i/>
                    <w:color w:val="231F20"/>
                    <w:spacing w:val="16"/>
                    <w:w w:val="105"/>
                    <w:sz w:val="12"/>
                  </w:rPr>
                  <w:t> </w:t>
                </w:r>
                <w:r>
                  <w:rPr>
                    <w:rFonts w:ascii="Cambria" w:hAnsi="Cambria"/>
                    <w:i/>
                    <w:color w:val="231F20"/>
                    <w:w w:val="110"/>
                    <w:sz w:val="12"/>
                  </w:rPr>
                  <w:t>Genomics</w:t>
                </w:r>
                <w:r>
                  <w:rPr>
                    <w:rFonts w:ascii="Cambria" w:hAnsi="Cambria"/>
                    <w:i/>
                    <w:color w:val="231F20"/>
                    <w:spacing w:val="14"/>
                    <w:w w:val="110"/>
                    <w:sz w:val="12"/>
                  </w:rPr>
                  <w:t> </w:t>
                </w:r>
                <w:r>
                  <w:rPr>
                    <w:rFonts w:ascii="Cambria" w:hAnsi="Cambria"/>
                    <w:i/>
                    <w:color w:val="231F20"/>
                    <w:w w:val="110"/>
                    <w:sz w:val="12"/>
                  </w:rPr>
                  <w:t>98</w:t>
                </w:r>
                <w:r>
                  <w:rPr>
                    <w:rFonts w:ascii="Cambria" w:hAnsi="Cambria"/>
                    <w:i/>
                    <w:color w:val="231F20"/>
                    <w:spacing w:val="15"/>
                    <w:w w:val="110"/>
                    <w:sz w:val="12"/>
                  </w:rPr>
                  <w:t> </w:t>
                </w:r>
                <w:r>
                  <w:rPr>
                    <w:rFonts w:ascii="Cambria" w:hAnsi="Cambria"/>
                    <w:i/>
                    <w:color w:val="231F20"/>
                    <w:w w:val="110"/>
                    <w:sz w:val="12"/>
                  </w:rPr>
                  <w:t>(2011)</w:t>
                </w:r>
                <w:r>
                  <w:rPr>
                    <w:rFonts w:ascii="Cambria" w:hAnsi="Cambria"/>
                    <w:i/>
                    <w:color w:val="231F20"/>
                    <w:spacing w:val="15"/>
                    <w:w w:val="110"/>
                    <w:sz w:val="12"/>
                  </w:rPr>
                  <w:t> </w:t>
                </w:r>
                <w:r>
                  <w:rPr>
                    <w:rFonts w:ascii="Cambria" w:hAnsi="Cambria"/>
                    <w:i/>
                    <w:color w:val="231F20"/>
                    <w:w w:val="110"/>
                    <w:sz w:val="12"/>
                  </w:rPr>
                  <w:t>137</w:t>
                </w:r>
                <w:r>
                  <w:rPr>
                    <w:rFonts w:ascii="Arial" w:hAnsi="Arial"/>
                    <w:color w:val="231F20"/>
                    <w:w w:val="110"/>
                    <w:sz w:val="12"/>
                  </w:rPr>
                  <w:t>–</w:t>
                </w:r>
                <w:r>
                  <w:rPr>
                    <w:rFonts w:ascii="Cambria" w:hAnsi="Cambria"/>
                    <w:i/>
                    <w:color w:val="231F20"/>
                    <w:w w:val="110"/>
                    <w:sz w:val="12"/>
                  </w:rPr>
                  <w:t>144</w:t>
                </w:r>
              </w:p>
            </w:txbxContent>
          </v:textbox>
          <w10:wrap type="none"/>
        </v:shape>
      </w:pict>
    </w:r>
    <w:r>
      <w:rPr/>
      <w:pict>
        <v:shape style="position:absolute;margin-left:547.602905pt;margin-top:35.557625pt;width:17.95pt;height:9.85pt;mso-position-horizontal-relative:page;mso-position-vertical-relative:page;z-index:-16674304" type="#_x0000_t202" id="docshape16" filled="false" stroked="false">
          <v:textbox inset="0,0,0,0">
            <w:txbxContent>
              <w:p>
                <w:pPr>
                  <w:spacing w:before="26"/>
                  <w:ind w:left="60" w:right="0" w:firstLine="0"/>
                  <w:jc w:val="left"/>
                  <w:rPr>
                    <w:sz w:val="12"/>
                  </w:rPr>
                </w:pPr>
                <w:r>
                  <w:rPr/>
                  <w:fldChar w:fldCharType="begin"/>
                </w:r>
                <w:r>
                  <w:rPr>
                    <w:color w:val="231F20"/>
                    <w:w w:val="110"/>
                    <w:sz w:val="12"/>
                  </w:rPr>
                  <w:instrText> PAGE </w:instrText>
                </w:r>
                <w:r>
                  <w:rPr/>
                  <w:fldChar w:fldCharType="separate"/>
                </w:r>
                <w:r>
                  <w:rPr/>
                  <w:t>139</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06" w:hanging="244"/>
        <w:jc w:val="right"/>
      </w:pPr>
      <w:rPr>
        <w:rFonts w:hint="default" w:ascii="Century" w:hAnsi="Century" w:eastAsia="Century" w:cs="Century"/>
        <w:b w:val="0"/>
        <w:bCs w:val="0"/>
        <w:i w:val="0"/>
        <w:iCs w:val="0"/>
        <w:color w:val="231F20"/>
        <w:w w:val="111"/>
        <w:sz w:val="12"/>
        <w:szCs w:val="12"/>
        <w:lang w:val="en-US" w:eastAsia="en-US" w:bidi="ar-SA"/>
      </w:rPr>
    </w:lvl>
    <w:lvl w:ilvl="1">
      <w:start w:val="0"/>
      <w:numFmt w:val="bullet"/>
      <w:lvlText w:val="•"/>
      <w:lvlJc w:val="left"/>
      <w:pPr>
        <w:ind w:left="1082" w:hanging="244"/>
      </w:pPr>
      <w:rPr>
        <w:rFonts w:hint="default"/>
        <w:lang w:val="en-US" w:eastAsia="en-US" w:bidi="ar-SA"/>
      </w:rPr>
    </w:lvl>
    <w:lvl w:ilvl="2">
      <w:start w:val="0"/>
      <w:numFmt w:val="bullet"/>
      <w:lvlText w:val="•"/>
      <w:lvlJc w:val="left"/>
      <w:pPr>
        <w:ind w:left="1565" w:hanging="244"/>
      </w:pPr>
      <w:rPr>
        <w:rFonts w:hint="default"/>
        <w:lang w:val="en-US" w:eastAsia="en-US" w:bidi="ar-SA"/>
      </w:rPr>
    </w:lvl>
    <w:lvl w:ilvl="3">
      <w:start w:val="0"/>
      <w:numFmt w:val="bullet"/>
      <w:lvlText w:val="•"/>
      <w:lvlJc w:val="left"/>
      <w:pPr>
        <w:ind w:left="2047" w:hanging="244"/>
      </w:pPr>
      <w:rPr>
        <w:rFonts w:hint="default"/>
        <w:lang w:val="en-US" w:eastAsia="en-US" w:bidi="ar-SA"/>
      </w:rPr>
    </w:lvl>
    <w:lvl w:ilvl="4">
      <w:start w:val="0"/>
      <w:numFmt w:val="bullet"/>
      <w:lvlText w:val="•"/>
      <w:lvlJc w:val="left"/>
      <w:pPr>
        <w:ind w:left="2530" w:hanging="244"/>
      </w:pPr>
      <w:rPr>
        <w:rFonts w:hint="default"/>
        <w:lang w:val="en-US" w:eastAsia="en-US" w:bidi="ar-SA"/>
      </w:rPr>
    </w:lvl>
    <w:lvl w:ilvl="5">
      <w:start w:val="0"/>
      <w:numFmt w:val="bullet"/>
      <w:lvlText w:val="•"/>
      <w:lvlJc w:val="left"/>
      <w:pPr>
        <w:ind w:left="3012" w:hanging="244"/>
      </w:pPr>
      <w:rPr>
        <w:rFonts w:hint="default"/>
        <w:lang w:val="en-US" w:eastAsia="en-US" w:bidi="ar-SA"/>
      </w:rPr>
    </w:lvl>
    <w:lvl w:ilvl="6">
      <w:start w:val="0"/>
      <w:numFmt w:val="bullet"/>
      <w:lvlText w:val="•"/>
      <w:lvlJc w:val="left"/>
      <w:pPr>
        <w:ind w:left="3495" w:hanging="244"/>
      </w:pPr>
      <w:rPr>
        <w:rFonts w:hint="default"/>
        <w:lang w:val="en-US" w:eastAsia="en-US" w:bidi="ar-SA"/>
      </w:rPr>
    </w:lvl>
    <w:lvl w:ilvl="7">
      <w:start w:val="0"/>
      <w:numFmt w:val="bullet"/>
      <w:lvlText w:val="•"/>
      <w:lvlJc w:val="left"/>
      <w:pPr>
        <w:ind w:left="3978" w:hanging="244"/>
      </w:pPr>
      <w:rPr>
        <w:rFonts w:hint="default"/>
        <w:lang w:val="en-US" w:eastAsia="en-US" w:bidi="ar-SA"/>
      </w:rPr>
    </w:lvl>
    <w:lvl w:ilvl="8">
      <w:start w:val="0"/>
      <w:numFmt w:val="bullet"/>
      <w:lvlText w:val="•"/>
      <w:lvlJc w:val="left"/>
      <w:pPr>
        <w:ind w:left="4460" w:hanging="244"/>
      </w:pPr>
      <w:rPr>
        <w:rFonts w:hint="default"/>
        <w:lang w:val="en-US" w:eastAsia="en-US" w:bidi="ar-SA"/>
      </w:rPr>
    </w:lvl>
  </w:abstractNum>
  <w:abstractNum w:abstractNumId="0">
    <w:multiLevelType w:val="hybridMultilevel"/>
    <w:lvl w:ilvl="0">
      <w:start w:val="1"/>
      <w:numFmt w:val="decimal"/>
      <w:lvlText w:val="%1."/>
      <w:lvlJc w:val="left"/>
      <w:pPr>
        <w:ind w:left="474" w:hanging="184"/>
        <w:jc w:val="left"/>
      </w:pPr>
      <w:rPr>
        <w:rFonts w:hint="default" w:ascii="Century" w:hAnsi="Century" w:eastAsia="Century" w:cs="Century"/>
        <w:b w:val="0"/>
        <w:bCs w:val="0"/>
        <w:i w:val="0"/>
        <w:iCs w:val="0"/>
        <w:color w:val="231F20"/>
        <w:w w:val="98"/>
        <w:sz w:val="16"/>
        <w:szCs w:val="16"/>
        <w:lang w:val="en-US" w:eastAsia="en-US" w:bidi="ar-SA"/>
      </w:rPr>
    </w:lvl>
    <w:lvl w:ilvl="1">
      <w:start w:val="1"/>
      <w:numFmt w:val="decimal"/>
      <w:lvlText w:val="%1.%2."/>
      <w:lvlJc w:val="left"/>
      <w:pPr>
        <w:ind w:left="586" w:hanging="299"/>
        <w:jc w:val="right"/>
      </w:pPr>
      <w:rPr>
        <w:rFonts w:hint="default" w:ascii="Cambria" w:hAnsi="Cambria" w:eastAsia="Cambria" w:cs="Cambria"/>
        <w:b w:val="0"/>
        <w:bCs w:val="0"/>
        <w:i/>
        <w:iCs/>
        <w:color w:val="231F20"/>
        <w:w w:val="105"/>
        <w:sz w:val="16"/>
        <w:szCs w:val="16"/>
        <w:lang w:val="en-US" w:eastAsia="en-US" w:bidi="ar-SA"/>
      </w:rPr>
    </w:lvl>
    <w:lvl w:ilvl="2">
      <w:start w:val="0"/>
      <w:numFmt w:val="bullet"/>
      <w:lvlText w:val="•"/>
      <w:lvlJc w:val="left"/>
      <w:pPr>
        <w:ind w:left="511" w:hanging="299"/>
      </w:pPr>
      <w:rPr>
        <w:rFonts w:hint="default"/>
        <w:lang w:val="en-US" w:eastAsia="en-US" w:bidi="ar-SA"/>
      </w:rPr>
    </w:lvl>
    <w:lvl w:ilvl="3">
      <w:start w:val="0"/>
      <w:numFmt w:val="bullet"/>
      <w:lvlText w:val="•"/>
      <w:lvlJc w:val="left"/>
      <w:pPr>
        <w:ind w:left="442" w:hanging="299"/>
      </w:pPr>
      <w:rPr>
        <w:rFonts w:hint="default"/>
        <w:lang w:val="en-US" w:eastAsia="en-US" w:bidi="ar-SA"/>
      </w:rPr>
    </w:lvl>
    <w:lvl w:ilvl="4">
      <w:start w:val="0"/>
      <w:numFmt w:val="bullet"/>
      <w:lvlText w:val="•"/>
      <w:lvlJc w:val="left"/>
      <w:pPr>
        <w:ind w:left="373" w:hanging="299"/>
      </w:pPr>
      <w:rPr>
        <w:rFonts w:hint="default"/>
        <w:lang w:val="en-US" w:eastAsia="en-US" w:bidi="ar-SA"/>
      </w:rPr>
    </w:lvl>
    <w:lvl w:ilvl="5">
      <w:start w:val="0"/>
      <w:numFmt w:val="bullet"/>
      <w:lvlText w:val="•"/>
      <w:lvlJc w:val="left"/>
      <w:pPr>
        <w:ind w:left="304" w:hanging="299"/>
      </w:pPr>
      <w:rPr>
        <w:rFonts w:hint="default"/>
        <w:lang w:val="en-US" w:eastAsia="en-US" w:bidi="ar-SA"/>
      </w:rPr>
    </w:lvl>
    <w:lvl w:ilvl="6">
      <w:start w:val="0"/>
      <w:numFmt w:val="bullet"/>
      <w:lvlText w:val="•"/>
      <w:lvlJc w:val="left"/>
      <w:pPr>
        <w:ind w:left="235" w:hanging="299"/>
      </w:pPr>
      <w:rPr>
        <w:rFonts w:hint="default"/>
        <w:lang w:val="en-US" w:eastAsia="en-US" w:bidi="ar-SA"/>
      </w:rPr>
    </w:lvl>
    <w:lvl w:ilvl="7">
      <w:start w:val="0"/>
      <w:numFmt w:val="bullet"/>
      <w:lvlText w:val="•"/>
      <w:lvlJc w:val="left"/>
      <w:pPr>
        <w:ind w:left="166" w:hanging="299"/>
      </w:pPr>
      <w:rPr>
        <w:rFonts w:hint="default"/>
        <w:lang w:val="en-US" w:eastAsia="en-US" w:bidi="ar-SA"/>
      </w:rPr>
    </w:lvl>
    <w:lvl w:ilvl="8">
      <w:start w:val="0"/>
      <w:numFmt w:val="bullet"/>
      <w:lvlText w:val="•"/>
      <w:lvlJc w:val="left"/>
      <w:pPr>
        <w:ind w:left="97" w:hanging="2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lang w:val="en-US" w:eastAsia="en-US" w:bidi="ar-SA"/>
    </w:rPr>
  </w:style>
  <w:style w:styleId="BodyText" w:type="paragraph">
    <w:name w:val="Body Text"/>
    <w:basedOn w:val="Normal"/>
    <w:uiPriority w:val="1"/>
    <w:qFormat/>
    <w:pPr/>
    <w:rPr>
      <w:rFonts w:ascii="Century" w:hAnsi="Century" w:eastAsia="Century" w:cs="Century"/>
      <w:sz w:val="16"/>
      <w:szCs w:val="16"/>
      <w:lang w:val="en-US" w:eastAsia="en-US" w:bidi="ar-SA"/>
    </w:rPr>
  </w:style>
  <w:style w:styleId="Heading1" w:type="paragraph">
    <w:name w:val="Heading 1"/>
    <w:basedOn w:val="Normal"/>
    <w:uiPriority w:val="1"/>
    <w:qFormat/>
    <w:pPr>
      <w:spacing w:before="99"/>
      <w:ind w:left="290"/>
      <w:outlineLvl w:val="1"/>
    </w:pPr>
    <w:rPr>
      <w:rFonts w:ascii="Century" w:hAnsi="Century" w:eastAsia="Century" w:cs="Century"/>
      <w:sz w:val="18"/>
      <w:szCs w:val="18"/>
      <w:lang w:val="en-US" w:eastAsia="en-US" w:bidi="ar-SA"/>
    </w:rPr>
  </w:style>
  <w:style w:styleId="Title" w:type="paragraph">
    <w:name w:val="Title"/>
    <w:basedOn w:val="Normal"/>
    <w:uiPriority w:val="1"/>
    <w:qFormat/>
    <w:pPr>
      <w:spacing w:before="1"/>
      <w:ind w:left="1449" w:right="1450"/>
      <w:jc w:val="center"/>
    </w:pPr>
    <w:rPr>
      <w:rFonts w:ascii="Century" w:hAnsi="Century" w:eastAsia="Century" w:cs="Century"/>
      <w:sz w:val="28"/>
      <w:szCs w:val="28"/>
      <w:lang w:val="en-US" w:eastAsia="en-US" w:bidi="ar-SA"/>
    </w:rPr>
  </w:style>
  <w:style w:styleId="ListParagraph" w:type="paragraph">
    <w:name w:val="List Paragraph"/>
    <w:basedOn w:val="Normal"/>
    <w:uiPriority w:val="1"/>
    <w:qFormat/>
    <w:pPr>
      <w:ind w:left="431" w:hanging="317"/>
      <w:jc w:val="both"/>
    </w:pPr>
    <w:rPr>
      <w:rFonts w:ascii="Century" w:hAnsi="Century" w:eastAsia="Century" w:cs="Century"/>
      <w:lang w:val="en-US" w:eastAsia="en-US" w:bidi="ar-SA"/>
    </w:rPr>
  </w:style>
  <w:style w:styleId="TableParagraph" w:type="paragraph">
    <w:name w:val="Table Paragraph"/>
    <w:basedOn w:val="Normal"/>
    <w:uiPriority w:val="1"/>
    <w:qFormat/>
    <w:pPr/>
    <w:rPr>
      <w:rFonts w:ascii="Century" w:hAnsi="Century" w:eastAsia="Century" w:cs="Century"/>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08887543" TargetMode="External"/><Relationship Id="rId9" Type="http://schemas.openxmlformats.org/officeDocument/2006/relationships/hyperlink" Target="http://dx.doi.org/10.1016/j.ygeno.2011.04.009" TargetMode="External"/><Relationship Id="rId10" Type="http://schemas.openxmlformats.org/officeDocument/2006/relationships/hyperlink" Target="mailto:ruslan.kalendar@helsinki.fi" TargetMode="External"/><Relationship Id="rId11" Type="http://schemas.openxmlformats.org/officeDocument/2006/relationships/hyperlink" Target="mailto:david.lee@niab.com" TargetMode="External"/><Relationship Id="rId12" Type="http://schemas.openxmlformats.org/officeDocument/2006/relationships/hyperlink" Target="mailto:alan.schulman@helsinki.f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quadruplex.org/" TargetMode="External"/><Relationship Id="rId16" Type="http://schemas.openxmlformats.org/officeDocument/2006/relationships/image" Target="media/image3.png"/><Relationship Id="rId17" Type="http://schemas.openxmlformats.org/officeDocument/2006/relationships/hyperlink" Target="http://www.primerdigital.com/fastpcr/citations.html"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hyperlink" Target="http://primerdigital.com/tools/soft.html" TargetMode="External"/><Relationship Id="rId21" Type="http://schemas.openxmlformats.org/officeDocument/2006/relationships/hyperlink" Target="http://wheat.pw.usda.gov/ITMI/Repeats/" TargetMode="External"/><Relationship Id="rId22" Type="http://schemas.openxmlformats.org/officeDocument/2006/relationships/hyperlink" Target="http://primerdigital.com/fastpcr/citations.html" TargetMode="External"/><Relationship Id="rId23" Type="http://schemas.openxmlformats.org/officeDocument/2006/relationships/hyperlink" Target="http://www.ncbi.nlm.nih.gov/tools/primer-blast/" TargetMode="External"/><Relationship Id="rId24" Type="http://schemas.openxmlformats.org/officeDocument/2006/relationships/hyperlink" Target="http://eu.idtdna.com/scitools/" TargetMode="External"/><Relationship Id="rId25" Type="http://schemas.openxmlformats.org/officeDocument/2006/relationships/hyperlink" Target="http://bisearch.enzim.hu/" TargetMode="External"/><Relationship Id="rId26" Type="http://schemas.openxmlformats.org/officeDocument/2006/relationships/hyperlink" Target="http://www.changbioscience.com/primo/" TargetMode="External"/><Relationship Id="rId27" Type="http://schemas.openxmlformats.org/officeDocument/2006/relationships/hyperlink" Target="http://perlprimer.sourceforge.net/" TargetMode="External"/><Relationship Id="rId28" Type="http://schemas.openxmlformats.org/officeDocument/2006/relationships/hyperlink" Target="http://primerdigital.com/tools/"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Ruslan Kalendar</dc:creator>
  <cp:keywords>PCR primer design;  Primer linguistic complexity;  Sequence assembly;  Software;  Probe design;  Ligase chain reaction</cp:keywords>
  <dc:subject>Genomics, 98 (2011) 137-144. doi:10.1016/j.ygeno.2011.04.009</dc:subject>
  <dc:title>Java web tools for PCR, in silico PCR, and oligonucleotide assembly and analysis</dc:title>
  <dcterms:created xsi:type="dcterms:W3CDTF">2021-12-05T13:29:54Z</dcterms:created>
  <dcterms:modified xsi:type="dcterms:W3CDTF">2021-12-05T13:29:54Z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2011-07-22T00:00:00Z</vt:filetime>
  </property>
  <property fmtid="{D5CDD505-2E9C-101B-9397-08002B2CF9AE}" pid="3" name="Creator">
    <vt:lpwstr>Elsevier</vt:lpwstr>
  </property>
  <property fmtid="{D5CDD505-2E9C-101B-9397-08002B2CF9AE}" pid="4" name="LastSaved">
    <vt:filetime>2021-12-05T00:00:00Z</vt:filetime>
  </property>
</Properties>
</file>