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1A"/>
          <w:sz w:val="52"/>
          <w:szCs w:val="52"/>
        </w:rPr>
        <w:t xml:space="preserve">ARCUS Professional</w:t>
      </w:r>
    </w:p>
    <w:p>
      <w:pPr>
        <w:spacing w:after="80" w:before="0"/>
      </w:pPr>
      <w:r>
        <w:rPr>
          <w:rFonts w:ascii="Arial" w:cs="Arial" w:eastAsia="Arial" w:hAnsi="Arial"/>
          <w:color w:val="B8860B"/>
          <w:sz w:val="34"/>
          <w:szCs w:val="34"/>
        </w:rPr>
        <w:t xml:space="preserve">Path 02 / Existing Assets</w:t>
      </w:r>
    </w:p>
    <w:p>
      <w:pPr>
        <w:spacing w:after="80" w:before="0"/>
      </w:pPr>
      <w:r>
        <w:rPr>
          <w:rFonts w:ascii="Arial" w:cs="Arial" w:eastAsia="Arial" w:hAnsi="Arial"/>
          <w:color w:val="555555"/>
          <w:sz w:val="24"/>
          <w:szCs w:val="24"/>
        </w:rPr>
        <w:t xml:space="preserve">Asset Watchlist &amp; Monitoring Priority System</w:t>
      </w:r>
    </w:p>
    <w:p>
      <w:pPr>
        <w:pBdr>
          <w:bottom w:val="single" w:color="D8D2C8" w:sz="2" w:space="1"/>
        </w:pBdr>
        <w:spacing w:after="120" w:before="0"/>
      </w:pPr>
      <w:r>
        <w:rPr>
          <w:sz w:val="4"/>
          <w:szCs w:val="4"/>
        </w:rPr>
        <w:t xml:space="preserve"/>
      </w:r>
    </w:p>
    <w:p>
      <w:pPr>
        <w:spacing w:after="0" w:before="0"/>
      </w:pPr>
      <w:r>
        <w:rPr>
          <w:sz w:val="16"/>
          <w:szCs w:val="16"/>
        </w:rPr>
        <w:t xml:space="preserve"/>
      </w:r>
    </w:p>
    <w:p>
      <w:pPr>
        <w:spacing w:after="80" w:before="0"/>
      </w:pPr>
      <w:r>
        <w:rPr>
          <w:rFonts w:ascii="Arial" w:cs="Arial" w:eastAsia="Arial" w:hAnsi="Arial"/>
          <w:i/>
          <w:iCs/>
          <w:color w:val="555555"/>
          <w:sz w:val="19"/>
          <w:szCs w:val="19"/>
        </w:rPr>
        <w:t xml:space="preserve">Documento di specifica tecnica e funzionale  ·  Versione 1.0  ·  11/06/2026</w:t>
      </w:r>
    </w:p>
    <w:p>
      <w:pPr>
        <w:spacing w:after="400" w:before="80"/>
      </w:pPr>
      <w:r>
        <w:rPr>
          <w:rFonts w:ascii="Arial" w:cs="Arial" w:eastAsia="Arial" w:hAnsi="Arial"/>
          <w:color w:val="555555"/>
          <w:sz w:val="20"/>
          <w:szCs w:val="20"/>
        </w:rPr>
        <w:t xml:space="preserve">Specifica completa del Path 02 — logica di input, calcolo degli indici, output PDF e pacchetto di export. Documento di riferimento per la programmazione.</w:t>
      </w:r>
    </w:p>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1. Posizionamento e valore del Path 02</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Nel Path 01 il cliente non ha ancora un asset — guarda il territorio. Nel Path 02 il cliente ha già una lista di ponti in gestione e deve decidere dove mettere attenzione e risorse. Il prodotto risponde a una domanda specifica: tra i ponti che gestisco, quali devo controllare prima e come?</w:t>
            </w:r>
          </w:p>
        </w:tc>
      </w:tr>
    </w:tbl>
    <w:p>
      <w:pPr>
        <w:spacing w:after="0" w:before="0"/>
      </w:pPr>
      <w:r>
        <w:rPr>
          <w:sz w:val="16"/>
          <w:szCs w:val="16"/>
        </w:rPr>
        <w:t xml:space="preserve"/>
      </w:r>
    </w:p>
    <w:p>
      <w:pPr>
        <w:spacing w:after="80" w:before="60"/>
      </w:pPr>
      <w:r>
        <w:rPr>
          <w:rFonts w:ascii="Arial" w:cs="Arial" w:eastAsia="Arial" w:hAnsi="Arial"/>
          <w:color w:val="3D3D3D"/>
          <w:sz w:val="22"/>
          <w:szCs w:val="22"/>
        </w:rPr>
        <w:t xml:space="preserve">Questa è la domanda che ogni gestore di patrimonio infrastrutturale — comune, provincia, concessionaria, società di ingegneria — si pone ogni anno quando deve allocare budget di ispezione e manutenzione. Non esiste oggi uno strumento che la risponda sistematicamente incrociando evidenza storica di collasso con layer di pericolosità territoriale.</w:t>
      </w:r>
    </w:p>
    <w:p>
      <w:pPr>
        <w:spacing w:after="0" w:before="0"/>
      </w:pPr>
      <w:r>
        <w:rPr>
          <w:sz w:val="8"/>
          <w:szCs w:val="8"/>
        </w:rPr>
        <w:t xml:space="preserve"/>
      </w:r>
    </w:p>
    <w:p>
      <w:pPr>
        <w:pStyle w:val="Heading2"/>
        <w:spacing w:after="120" w:before="320"/>
      </w:pPr>
      <w:r>
        <w:rPr>
          <w:rFonts w:ascii="Arial" w:cs="Arial" w:eastAsia="Arial" w:hAnsi="Arial"/>
          <w:b/>
          <w:bCs/>
          <w:color w:val="B8860B"/>
          <w:sz w:val="26"/>
          <w:szCs w:val="26"/>
        </w:rPr>
        <w:t xml:space="preserve">1.1 La frase di posizionamento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ARCUS Path 02 è l'unico strumento che incrocia il tuo inventario di ponti con il primo database sistematico di collassi in Italia dal 2000 ad oggi, producendo una watchlist prioritizzata con raccomandazioni di monitoraggio specifiche per tipo di rischio.</w:t>
            </w:r>
          </w:p>
        </w:tc>
      </w:tr>
    </w:tbl>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1.2 Differenza rispetto al Path 01</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D8D2C8" w:sz="1"/>
              <w:left w:val="single" w:color="D8D2C8" w:sz="1"/>
              <w:bottom w:val="single" w:color="D8D2C8" w:sz="1"/>
              <w:right w:val="single" w:color="D8D2C8" w:sz="1"/>
            </w:tcBorders>
            <w:shd w:fill="F5F2EC" w:val="clear"/>
            <w:tcMar>
              <w:top w:type="dxa" w:w="80"/>
              <w:left w:type="dxa" w:w="120"/>
              <w:bottom w:type="dxa" w:w="80"/>
              <w:right w:type="dxa" w:w="120"/>
            </w:tcMar>
          </w:tcPr>
          <w:p>
            <w:r>
              <w:rPr>
                <w:rFonts w:ascii="Arial" w:cs="Arial" w:eastAsia="Arial" w:hAnsi="Arial"/>
                <w:b/>
                <w:bCs/>
                <w:color w:val="1A1A1A"/>
                <w:sz w:val="21"/>
                <w:szCs w:val="21"/>
              </w:rPr>
              <w:t xml:space="preserve">PATH 01 / New Territory</w:t>
            </w:r>
          </w:p>
        </w:tc>
        <w:tc>
          <w:tcPr>
            <w:tcW w:type="dxa" w:w="5596"/>
            <w:tcBorders>
              <w:top w:val="single" w:color="D8D2C8" w:sz="1"/>
              <w:left w:val="single" w:color="D8D2C8" w:sz="1"/>
              <w:bottom w:val="single" w:color="D8D2C8" w:sz="1"/>
              <w:right w:val="single" w:color="D8D2C8" w:sz="1"/>
            </w:tcBorders>
            <w:tcMar>
              <w:top w:type="dxa" w:w="80"/>
              <w:left w:type="dxa" w:w="120"/>
              <w:bottom w:type="dxa" w:w="80"/>
              <w:right w:type="dxa" w:w="120"/>
            </w:tcMar>
          </w:tcPr>
          <w:p>
            <w:r>
              <w:rPr>
                <w:rFonts w:ascii="Arial" w:cs="Arial" w:eastAsia="Arial" w:hAnsi="Arial"/>
                <w:color w:val="3D3D3D"/>
                <w:sz w:val="21"/>
                <w:szCs w:val="21"/>
              </w:rPr>
              <w:t xml:space="preserve">Lettura territoriale. Il cliente non ha un asset specifico. ARCUS legge la provincia e produce un briefing di screening prima della progettazione o due diligence.</w:t>
            </w:r>
          </w:p>
        </w:tc>
      </w:tr>
      <w:tr>
        <w:tc>
          <w:tcPr>
            <w:tcW w:type="dxa" w:w="3429"/>
            <w:tcBorders>
              <w:top w:val="single" w:color="D8D2C8" w:sz="1"/>
              <w:left w:val="single" w:color="D8D2C8" w:sz="1"/>
              <w:bottom w:val="single" w:color="D8D2C8" w:sz="1"/>
              <w:right w:val="single" w:color="D8D2C8" w:sz="1"/>
            </w:tcBorders>
            <w:shd w:fill="F5F2EC" w:val="clear"/>
            <w:tcMar>
              <w:top w:type="dxa" w:w="80"/>
              <w:left w:type="dxa" w:w="120"/>
              <w:bottom w:type="dxa" w:w="80"/>
              <w:right w:type="dxa" w:w="120"/>
            </w:tcMar>
          </w:tcPr>
          <w:p>
            <w:r>
              <w:rPr>
                <w:rFonts w:ascii="Arial" w:cs="Arial" w:eastAsia="Arial" w:hAnsi="Arial"/>
                <w:b/>
                <w:bCs/>
                <w:color w:val="1A1A1A"/>
                <w:sz w:val="21"/>
                <w:szCs w:val="21"/>
              </w:rPr>
              <w:t xml:space="preserve">PATH 02 / Existing Assets</w:t>
            </w:r>
          </w:p>
        </w:tc>
        <w:tc>
          <w:tcPr>
            <w:tcW w:type="dxa" w:w="5596"/>
            <w:tcBorders>
              <w:top w:val="single" w:color="D8D2C8" w:sz="1"/>
              <w:left w:val="single" w:color="D8D2C8" w:sz="1"/>
              <w:bottom w:val="single" w:color="D8D2C8" w:sz="1"/>
              <w:right w:val="single" w:color="D8D2C8" w:sz="1"/>
            </w:tcBorders>
            <w:tcMar>
              <w:top w:type="dxa" w:w="80"/>
              <w:left w:type="dxa" w:w="120"/>
              <w:bottom w:type="dxa" w:w="80"/>
              <w:right w:type="dxa" w:w="120"/>
            </w:tcMar>
          </w:tcPr>
          <w:p>
            <w:r>
              <w:rPr>
                <w:rFonts w:ascii="Arial" w:cs="Arial" w:eastAsia="Arial" w:hAnsi="Arial"/>
                <w:color w:val="3D3D3D"/>
                <w:sz w:val="21"/>
                <w:szCs w:val="21"/>
              </w:rPr>
              <w:t xml:space="preserve">Lettura del patrimonio. Il cliente ha già una lista di ponti. ARCUS incrocia ogni asset con i layer di pericolosità e il database storico, producendo una watchlist prioritizzata con raccomandazioni operative.</w:t>
            </w:r>
          </w:p>
        </w:tc>
      </w:tr>
      <w:tr>
        <w:tc>
          <w:tcPr>
            <w:tcW w:type="dxa" w:w="3429"/>
            <w:tcBorders>
              <w:top w:val="single" w:color="D8D2C8" w:sz="1"/>
              <w:left w:val="single" w:color="D8D2C8" w:sz="1"/>
              <w:bottom w:val="single" w:color="D8D2C8" w:sz="1"/>
              <w:right w:val="single" w:color="D8D2C8" w:sz="1"/>
            </w:tcBorders>
            <w:shd w:fill="F5F2EC" w:val="clear"/>
            <w:tcMar>
              <w:top w:type="dxa" w:w="80"/>
              <w:left w:type="dxa" w:w="120"/>
              <w:bottom w:type="dxa" w:w="80"/>
              <w:right w:type="dxa" w:w="120"/>
            </w:tcMar>
          </w:tcPr>
          <w:p>
            <w:r>
              <w:rPr>
                <w:rFonts w:ascii="Arial" w:cs="Arial" w:eastAsia="Arial" w:hAnsi="Arial"/>
                <w:b/>
                <w:bCs/>
                <w:color w:val="1A1A1A"/>
                <w:sz w:val="21"/>
                <w:szCs w:val="21"/>
              </w:rPr>
              <w:t xml:space="preserve">Continuità tra i due path</w:t>
            </w:r>
          </w:p>
        </w:tc>
        <w:tc>
          <w:tcPr>
            <w:tcW w:type="dxa" w:w="5596"/>
            <w:tcBorders>
              <w:top w:val="single" w:color="D8D2C8" w:sz="1"/>
              <w:left w:val="single" w:color="D8D2C8" w:sz="1"/>
              <w:bottom w:val="single" w:color="D8D2C8" w:sz="1"/>
              <w:right w:val="single" w:color="D8D2C8" w:sz="1"/>
            </w:tcBorders>
            <w:tcMar>
              <w:top w:type="dxa" w:w="80"/>
              <w:left w:type="dxa" w:w="120"/>
              <w:bottom w:type="dxa" w:w="80"/>
              <w:right w:type="dxa" w:w="120"/>
            </w:tcMar>
          </w:tcPr>
          <w:p>
            <w:r>
              <w:rPr>
                <w:rFonts w:ascii="Arial" w:cs="Arial" w:eastAsia="Arial" w:hAnsi="Arial"/>
                <w:color w:val="3D3D3D"/>
                <w:sz w:val="21"/>
                <w:szCs w:val="21"/>
              </w:rPr>
              <w:t xml:space="preserve">Un cliente che ha usato Path 01 per la provincia X conosce già il segnale dominante. Quando carica il suo inventario nel Path 02, il sistema pre-popola il contesto territoriale di ogni ponte senza lavoro aggiuntivo.</w:t>
            </w:r>
          </w:p>
        </w:tc>
      </w:tr>
    </w:tbl>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2. Formato di input — struttura del file asset</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Il cliente carica un file CSV o Excel con la lista dei ponti in gestione. Il formato è strutturato su tre livelli di completezza che determinano la profondità dell'output generato.</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2.1 Campi obbligatori</w:t>
      </w:r>
    </w:p>
    <w:p>
      <w:pPr>
        <w:spacing w:after="60" w:before="40"/>
      </w:pPr>
      <w:r>
        <w:rPr>
          <w:rFonts w:ascii="Arial" w:cs="Arial" w:eastAsia="Arial" w:hAnsi="Arial"/>
          <w:i/>
          <w:iCs/>
          <w:color w:val="555555"/>
          <w:sz w:val="20"/>
          <w:szCs w:val="20"/>
        </w:rPr>
        <w:t xml:space="preserve">Il sistema non procede senza questi campi. Errori o valori mancanti bloccano il processing del singolo record con avviso esplicito.</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Campo</w:t>
            </w:r>
          </w:p>
        </w:tc>
        <w:tc>
          <w:tcPr>
            <w:tcW w:type="dxa" w:w="24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Formato atteso</w:t>
            </w:r>
          </w:p>
        </w:tc>
        <w:tc>
          <w:tcPr>
            <w:tcW w:type="dxa" w:w="44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Note</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bridge_id</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Stringa alfanumerica</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Identificativo univoco del ponte. Può essere il codice IOP AINOP o un codice interno del gestore. Diventa la chiave di tutto il sistema.</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lat</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Decimale WGS84</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Latitudine in gradi decimali. Stesso formato del database ARCUS. Es: 45.123456</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lon</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Decimale WGS84</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Longitudine in gradi decimali. Es: 7.654321</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province_declared</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Stringa</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Provincia dichiarata dal cliente. Usata per il double check geografico.</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municipality_declared</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Stringa</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Comune dichiarato. Usato per il double check geografico.</w:t>
            </w:r>
          </w:p>
        </w:tc>
      </w:tr>
    </w:tbl>
    <w:p>
      <w:pPr>
        <w:spacing w:after="0" w:before="0"/>
      </w:pPr>
      <w:r>
        <w:rPr>
          <w:sz w:val="24"/>
          <w:szCs w:val="24"/>
        </w:rPr>
        <w:t xml:space="preserve"/>
      </w:r>
    </w:p>
    <w:p>
      <w:pPr>
        <w:pStyle w:val="Heading2"/>
        <w:spacing w:after="120" w:before="320"/>
      </w:pPr>
      <w:r>
        <w:rPr>
          <w:rFonts w:ascii="Arial" w:cs="Arial" w:eastAsia="Arial" w:hAnsi="Arial"/>
          <w:b/>
          <w:bCs/>
          <w:color w:val="B8860B"/>
          <w:sz w:val="26"/>
          <w:szCs w:val="26"/>
        </w:rPr>
        <w:t xml:space="preserve">2.2 Campi raccomandati</w:t>
      </w:r>
    </w:p>
    <w:p>
      <w:pPr>
        <w:spacing w:after="60" w:before="40"/>
      </w:pPr>
      <w:r>
        <w:rPr>
          <w:rFonts w:ascii="Arial" w:cs="Arial" w:eastAsia="Arial" w:hAnsi="Arial"/>
          <w:i/>
          <w:iCs/>
          <w:color w:val="555555"/>
          <w:sz w:val="20"/>
          <w:szCs w:val="20"/>
        </w:rPr>
        <w:t xml:space="preserve">Migliorano la qualità dell'output. Il sistema genera raccomandazioni di monitoraggio più specifiche se questi campi sono presenti.</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Campo</w:t>
            </w:r>
          </w:p>
        </w:tc>
        <w:tc>
          <w:tcPr>
            <w:tcW w:type="dxa" w:w="24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Formato atteso</w:t>
            </w:r>
          </w:p>
        </w:tc>
        <w:tc>
          <w:tcPr>
            <w:tcW w:type="dxa" w:w="44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Note</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construction_year</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Anno YYYY o decade (es. 1960s)</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Permette di pesare la vulnerabilità strutturale. Ponti ante-1980 hanno profilo di rischio sismico diverso da ponti post-2008.</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structural_type</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Enum: arch / beam / suspended</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Tre categorie semplificate sufficienti per determinare vulnerabilità prevalente per tipo di hazard. Non serve la scheda tecnica completa.</w:t>
            </w:r>
          </w:p>
        </w:tc>
      </w:tr>
    </w:tbl>
    <w:p>
      <w:pPr>
        <w:spacing w:after="0" w:before="0"/>
      </w:pPr>
      <w:r>
        <w:rPr>
          <w:sz w:val="24"/>
          <w:szCs w:val="24"/>
        </w:rPr>
        <w:t xml:space="preserve"/>
      </w:r>
    </w:p>
    <w:p>
      <w:pPr>
        <w:pStyle w:val="Heading2"/>
        <w:spacing w:after="120" w:before="320"/>
      </w:pPr>
      <w:r>
        <w:rPr>
          <w:rFonts w:ascii="Arial" w:cs="Arial" w:eastAsia="Arial" w:hAnsi="Arial"/>
          <w:b/>
          <w:bCs/>
          <w:color w:val="B8860B"/>
          <w:sz w:val="26"/>
          <w:szCs w:val="26"/>
        </w:rPr>
        <w:t xml:space="preserve">2.3 Campi opzionali</w:t>
      </w:r>
    </w:p>
    <w:p>
      <w:pPr>
        <w:spacing w:after="60" w:before="40"/>
      </w:pPr>
      <w:r>
        <w:rPr>
          <w:rFonts w:ascii="Arial" w:cs="Arial" w:eastAsia="Arial" w:hAnsi="Arial"/>
          <w:i/>
          <w:iCs/>
          <w:color w:val="555555"/>
          <w:sz w:val="20"/>
          <w:szCs w:val="20"/>
        </w:rPr>
        <w:t xml:space="preserve">Sbloccano raccomandazioni di monitoraggio di secondo livello più specifiche.</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Campo</w:t>
            </w:r>
          </w:p>
        </w:tc>
        <w:tc>
          <w:tcPr>
            <w:tcW w:type="dxa" w:w="24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Formato atteso</w:t>
            </w:r>
          </w:p>
        </w:tc>
        <w:tc>
          <w:tcPr>
            <w:tcW w:type="dxa" w:w="44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Note</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last_inspection_date</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Data YYYY-MM-DD</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Permette di pesare l'urgenza in base al tempo trascorso dall'ultimo controllo.</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underwater_inspection</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Boolean: yes / no</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Rilevante per ponti in zona idraulica ad alta esposizione scour. Determina se raccomandare ispezione subacquea come prima priorità o come verifica periodica.</w:t>
            </w:r>
          </w:p>
        </w:tc>
      </w:tr>
    </w:tbl>
    <w:p>
      <w:pPr>
        <w:spacing w:after="0" w:before="0"/>
      </w:pPr>
      <w:r>
        <w:rPr>
          <w:sz w:val="24"/>
          <w:szCs w:val="24"/>
        </w:rPr>
        <w:t xml:space="preserve"/>
      </w:r>
    </w:p>
    <w:p>
      <w:pPr>
        <w:pStyle w:val="Heading2"/>
        <w:spacing w:after="120" w:before="320"/>
      </w:pPr>
      <w:r>
        <w:rPr>
          <w:rFonts w:ascii="Arial" w:cs="Arial" w:eastAsia="Arial" w:hAnsi="Arial"/>
          <w:b/>
          <w:bCs/>
          <w:color w:val="B8860B"/>
          <w:sz w:val="26"/>
          <w:szCs w:val="26"/>
        </w:rPr>
        <w:t xml:space="preserve">2.4 Double check geografico — logica di validazione</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Al momento dell'upload il sistema esegue reverse geocoding delle coordinate WGS84 e confronta il risultato con i campi province_declared e municipality_declared. Tre scenari:</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Scenario</w:t>
            </w:r>
          </w:p>
        </w:tc>
        <w:tc>
          <w:tcPr>
            <w:tcW w:type="dxa" w:w="22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Comportamento sistema</w:t>
            </w:r>
          </w:p>
        </w:tc>
        <w:tc>
          <w:tcPr>
            <w:tcW w:type="dxa" w:w="50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Dettaglio</w:t>
            </w:r>
          </w:p>
        </w:tc>
      </w:tr>
      <w:tr>
        <w:tc>
          <w:tcPr>
            <w:tcW w:type="dxa" w:w="1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Match perfetto</w:t>
            </w:r>
          </w:p>
        </w:tc>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Procede senza avvisi</w:t>
            </w:r>
          </w:p>
        </w:tc>
        <w:tc>
          <w:tcPr>
            <w:tcW w:type="dxa" w:w="5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Coordinate e campi dichiarati coincidono. Nessuna azione richiesta.</w:t>
            </w:r>
          </w:p>
        </w:tc>
      </w:tr>
      <w:tr>
        <w:tc>
          <w:tcPr>
            <w:tcW w:type="dxa" w:w="1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Match parziale</w:t>
            </w:r>
          </w:p>
        </w:tc>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Avviso giallo — non blocca</w:t>
            </w:r>
          </w:p>
        </w:tc>
        <w:tc>
          <w:tcPr>
            <w:tcW w:type="dxa" w:w="5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Coordinate in comune confinante o stessa provincia ma comune diverso. Frequente con ponti sul confine tra due comuni. Il sistema segnala la discrepanza e lascia al cliente la verifica finale. Non blocca per evitare falsi positivi.</w:t>
            </w:r>
          </w:p>
        </w:tc>
      </w:tr>
      <w:tr>
        <w:tc>
          <w:tcPr>
            <w:tcW w:type="dxa" w:w="1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Mismatch significativo</w:t>
            </w:r>
          </w:p>
        </w:tc>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Blocco — richiede conferma</w:t>
            </w:r>
          </w:p>
        </w:tc>
        <w:tc>
          <w:tcPr>
            <w:tcW w:type="dxa" w:w="5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Coordinate in provincia diversa da quella dichiarata. Probabile errore di inserimento. Il sistema blocca e chiede conferma esplicita prima di procedere.</w:t>
            </w:r>
          </w:p>
        </w:tc>
      </w:tr>
    </w:tbl>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Regola amministrativa da dichiarare nel sistema: il ponte appartiene alla provincia del comune di riferimento amministrativo, non alla provincia dove cadono fisicamente le coordinate. Questa regola va comunicata al cliente nel momento dell'upload e documentata nella methodology.</w:t>
            </w:r>
          </w:p>
        </w:tc>
      </w:tr>
    </w:tbl>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3. Calcolo degli indici per asset</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Ogni ponte caricato riceve tre valori calcolati automaticamente al momento dell'upload, incrociando la posizione WGS84 con i layer disponibili.</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3.1 Asset Priority Score (0–100)</w:t>
      </w:r>
    </w:p>
    <w:p>
      <w:pPr>
        <w:spacing w:after="80" w:before="60"/>
      </w:pPr>
      <w:r>
        <w:rPr>
          <w:rFonts w:ascii="Arial" w:cs="Arial" w:eastAsia="Arial" w:hAnsi="Arial"/>
          <w:color w:val="3D3D3D"/>
          <w:sz w:val="22"/>
          <w:szCs w:val="22"/>
        </w:rPr>
        <w:t xml:space="preserve">Indice sintetico calcolato per il singolo ponte. Distinto dal Priority Index provinciale del Path 01 — quello misura il territorio, questo misura l'esposizione del singolo asset.</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Componenti del calcolo:</w:t>
      </w:r>
    </w:p>
    <w:p>
      <w:pPr>
        <w:pStyle w:val="ListParagraph"/>
        <w:numPr>
          <w:ilvl w:val="0"/>
          <w:numId w:val="2"/>
        </w:numPr>
        <w:spacing w:after="60" w:before="40"/>
      </w:pPr>
      <w:r>
        <w:rPr>
          <w:rFonts w:ascii="Arial" w:cs="Arial" w:eastAsia="Arial" w:hAnsi="Arial"/>
          <w:color w:val="3D3D3D"/>
          <w:sz w:val="22"/>
          <w:szCs w:val="22"/>
        </w:rPr>
        <w:t xml:space="preserve">Esposizione idraulica WMS nel punto del ponte — score da layer ISPRA/PAI idraulico</w:t>
      </w:r>
    </w:p>
    <w:p>
      <w:pPr>
        <w:pStyle w:val="ListParagraph"/>
        <w:numPr>
          <w:ilvl w:val="0"/>
          <w:numId w:val="2"/>
        </w:numPr>
        <w:spacing w:after="60" w:before="40"/>
      </w:pPr>
      <w:r>
        <w:rPr>
          <w:rFonts w:ascii="Arial" w:cs="Arial" w:eastAsia="Arial" w:hAnsi="Arial"/>
          <w:color w:val="3D3D3D"/>
          <w:sz w:val="22"/>
          <w:szCs w:val="22"/>
        </w:rPr>
        <w:t xml:space="preserve">Esposizione da frana WMS nel punto del ponte — score da layer PAI frana</w:t>
      </w:r>
    </w:p>
    <w:p>
      <w:pPr>
        <w:pStyle w:val="ListParagraph"/>
        <w:numPr>
          <w:ilvl w:val="0"/>
          <w:numId w:val="2"/>
        </w:numPr>
        <w:spacing w:after="60" w:before="40"/>
      </w:pPr>
      <w:r>
        <w:rPr>
          <w:rFonts w:ascii="Arial" w:cs="Arial" w:eastAsia="Arial" w:hAnsi="Arial"/>
          <w:color w:val="3D3D3D"/>
          <w:sz w:val="22"/>
          <w:szCs w:val="22"/>
        </w:rPr>
        <w:t xml:space="preserve">Esposizione sismica — classificazione sismica comunale</w:t>
      </w:r>
    </w:p>
    <w:p>
      <w:pPr>
        <w:pStyle w:val="ListParagraph"/>
        <w:numPr>
          <w:ilvl w:val="0"/>
          <w:numId w:val="2"/>
        </w:numPr>
        <w:spacing w:after="60" w:before="40"/>
      </w:pPr>
      <w:r>
        <w:rPr>
          <w:rFonts w:ascii="Arial" w:cs="Arial" w:eastAsia="Arial" w:hAnsi="Arial"/>
          <w:color w:val="3D3D3D"/>
          <w:sz w:val="22"/>
          <w:szCs w:val="22"/>
        </w:rPr>
        <w:t xml:space="preserve">Proximity Score — distanza dai casi ARCUS documentati più vicini (vedi 3.3)</w:t>
      </w:r>
    </w:p>
    <w:p>
      <w:pPr>
        <w:pStyle w:val="ListParagraph"/>
        <w:numPr>
          <w:ilvl w:val="0"/>
          <w:numId w:val="2"/>
        </w:numPr>
        <w:spacing w:after="60" w:before="40"/>
      </w:pPr>
      <w:r>
        <w:rPr>
          <w:rFonts w:ascii="Arial" w:cs="Arial" w:eastAsia="Arial" w:hAnsi="Arial"/>
          <w:color w:val="3D3D3D"/>
          <w:sz w:val="22"/>
          <w:szCs w:val="22"/>
        </w:rPr>
        <w:t xml:space="preserve">Peso dell'anno di costruzione se disponibile — ante-1980 aumenta il peso sismico e strutturale</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L'Asset Priority Score non è la media aritmetica delle componenti — il segnale dominante pesa di più. Se l'esposizione idraulica è 95/100 e le altre sono basse, lo score finale riflette la dominanza idraulica, non la media.</w:t>
            </w:r>
          </w:p>
        </w:tc>
      </w:tr>
    </w:tbl>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3.2 Hazard Profile</w:t>
      </w:r>
    </w:p>
    <w:p>
      <w:pPr>
        <w:spacing w:after="80" w:before="60"/>
      </w:pPr>
      <w:r>
        <w:rPr>
          <w:rFonts w:ascii="Arial" w:cs="Arial" w:eastAsia="Arial" w:hAnsi="Arial"/>
          <w:color w:val="3D3D3D"/>
          <w:sz w:val="22"/>
          <w:szCs w:val="22"/>
        </w:rPr>
        <w:t xml:space="preserve">Indica quale dei tre layer domina per quel ponte specifico. Determina quale categoria di monitoraggio viene raccomandata nell'output.</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Profilo</w:t>
            </w:r>
          </w:p>
        </w:tc>
        <w:tc>
          <w:tcPr>
            <w:tcW w:type="dxa" w:w="70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Condizione di attivazione</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Hydraulic</w:t>
            </w:r>
          </w:p>
        </w:tc>
        <w:tc>
          <w:tcPr>
            <w:tcW w:type="dxa" w:w="7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Layer idraulico WMS dominante. Ulteriore distinzione: torrential/alpine vs lowland/plain in base alla quota e alla tipologia del corso d'acqua.</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Landslide</w:t>
            </w:r>
          </w:p>
        </w:tc>
        <w:tc>
          <w:tcPr>
            <w:tcW w:type="dxa" w:w="7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Layer PAI frana dominante. Distinzione: frana attiva vs quiescente se disponibile nel layer.</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Seismic</w:t>
            </w:r>
          </w:p>
        </w:tc>
        <w:tc>
          <w:tcPr>
            <w:tcW w:type="dxa" w:w="7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Classificazione sismica zona 1 o 2. Aumenta il peso se construction_year ante-1980.</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Multi-hazard</w:t>
            </w:r>
          </w:p>
        </w:tc>
        <w:tc>
          <w:tcPr>
            <w:tcW w:type="dxa" w:w="70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Due o più layer con score elevato simultaneamente. Categoria più critica — richiede ispezione coordinata tra specialisti diversi.</w:t>
            </w:r>
          </w:p>
        </w:tc>
      </w:tr>
    </w:tbl>
    <w:p>
      <w:pPr>
        <w:spacing w:after="0" w:before="0"/>
      </w:pPr>
      <w:r>
        <w:rPr>
          <w:sz w:val="24"/>
          <w:szCs w:val="24"/>
        </w:rPr>
        <w:t xml:space="preserve"/>
      </w:r>
    </w:p>
    <w:p>
      <w:pPr>
        <w:pStyle w:val="Heading2"/>
        <w:spacing w:after="120" w:before="320"/>
      </w:pPr>
      <w:r>
        <w:rPr>
          <w:rFonts w:ascii="Arial" w:cs="Arial" w:eastAsia="Arial" w:hAnsi="Arial"/>
          <w:b/>
          <w:bCs/>
          <w:color w:val="B8860B"/>
          <w:sz w:val="26"/>
          <w:szCs w:val="26"/>
        </w:rPr>
        <w:t xml:space="preserve">3.3 Proximity Score</w:t>
      </w:r>
    </w:p>
    <w:p>
      <w:pPr>
        <w:spacing w:after="80" w:before="60"/>
      </w:pPr>
      <w:r>
        <w:rPr>
          <w:rFonts w:ascii="Arial" w:cs="Arial" w:eastAsia="Arial" w:hAnsi="Arial"/>
          <w:color w:val="3D3D3D"/>
          <w:sz w:val="22"/>
          <w:szCs w:val="22"/>
        </w:rPr>
        <w:t xml:space="preserve">Misura la vicinanza del ponte ai casi storici ARCUS documentati. È il dato che solo ARCUS può fornire e che nessun layer pubblico produce.</w:t>
      </w:r>
    </w:p>
    <w:p>
      <w:pPr>
        <w:spacing w:after="0" w:before="0"/>
      </w:pPr>
      <w:r>
        <w:rPr>
          <w:sz w:val="8"/>
          <w:szCs w:val="8"/>
        </w:rPr>
        <w:t xml:space="preserve"/>
      </w:r>
    </w:p>
    <w:p>
      <w:pPr>
        <w:pStyle w:val="ListParagraph"/>
        <w:numPr>
          <w:ilvl w:val="0"/>
          <w:numId w:val="2"/>
        </w:numPr>
        <w:spacing w:after="60" w:before="40"/>
      </w:pPr>
      <w:r>
        <w:rPr>
          <w:rFonts w:ascii="Arial" w:cs="Arial" w:eastAsia="Arial" w:hAnsi="Arial"/>
          <w:color w:val="3D3D3D"/>
          <w:sz w:val="22"/>
          <w:szCs w:val="22"/>
        </w:rPr>
        <w:t xml:space="preserve">Entro 500m da un caso ARCUS documentato: score molto alto — segnale diretto</w:t>
      </w:r>
    </w:p>
    <w:p>
      <w:pPr>
        <w:pStyle w:val="ListParagraph"/>
        <w:numPr>
          <w:ilvl w:val="0"/>
          <w:numId w:val="2"/>
        </w:numPr>
        <w:spacing w:after="60" w:before="40"/>
      </w:pPr>
      <w:r>
        <w:rPr>
          <w:rFonts w:ascii="Arial" w:cs="Arial" w:eastAsia="Arial" w:hAnsi="Arial"/>
          <w:color w:val="3D3D3D"/>
          <w:sz w:val="22"/>
          <w:szCs w:val="22"/>
        </w:rPr>
        <w:t xml:space="preserve">Tra 500m e 2km: score alto — stesso bacino idrografico o stesso versante</w:t>
      </w:r>
    </w:p>
    <w:p>
      <w:pPr>
        <w:pStyle w:val="ListParagraph"/>
        <w:numPr>
          <w:ilvl w:val="0"/>
          <w:numId w:val="2"/>
        </w:numPr>
        <w:spacing w:after="60" w:before="40"/>
      </w:pPr>
      <w:r>
        <w:rPr>
          <w:rFonts w:ascii="Arial" w:cs="Arial" w:eastAsia="Arial" w:hAnsi="Arial"/>
          <w:color w:val="3D3D3D"/>
          <w:sz w:val="22"/>
          <w:szCs w:val="22"/>
        </w:rPr>
        <w:t xml:space="preserve">Tra 2km e 10km: score medio — stessa provincia, contesto simile</w:t>
      </w:r>
    </w:p>
    <w:p>
      <w:pPr>
        <w:pStyle w:val="ListParagraph"/>
        <w:numPr>
          <w:ilvl w:val="0"/>
          <w:numId w:val="2"/>
        </w:numPr>
        <w:spacing w:after="60" w:before="40"/>
      </w:pPr>
      <w:r>
        <w:rPr>
          <w:rFonts w:ascii="Arial" w:cs="Arial" w:eastAsia="Arial" w:hAnsi="Arial"/>
          <w:color w:val="3D3D3D"/>
          <w:sz w:val="22"/>
          <w:szCs w:val="22"/>
        </w:rPr>
        <w:t xml:space="preserve">Oltre 10km: score basso — contesto provinciale di riferimento senza vicinanza diretta</w:t>
      </w:r>
    </w:p>
    <w:p>
      <w:pPr>
        <w:spacing w:after="0" w:before="0"/>
      </w:pPr>
      <w:r>
        <w:rPr>
          <w:sz w:val="8"/>
          <w:szCs w:val="8"/>
        </w:rPr>
        <w:t xml:space="preserve"/>
      </w:r>
    </w:p>
    <w:p>
      <w:pPr>
        <w:spacing w:after="60" w:before="40"/>
      </w:pPr>
      <w:r>
        <w:rPr>
          <w:rFonts w:ascii="Arial" w:cs="Arial" w:eastAsia="Arial" w:hAnsi="Arial"/>
          <w:i/>
          <w:iCs/>
          <w:color w:val="555555"/>
          <w:sz w:val="20"/>
          <w:szCs w:val="20"/>
        </w:rPr>
        <w:t xml:space="preserve">Le soglie di distanza sono parametriche e calibrabili man mano che il database cresce. Nella v1 sono un punto di partenza ragionato.</w:t>
      </w:r>
    </w:p>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4. Output adattivo — logica di scala</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Il sistema genera output diversi in base al numero di asset caricati. La logica di scoring è identica per tutti i volumi — cambia solo la presentazione.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4.1 Soglie di scala</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Volume asset</w:t>
            </w:r>
          </w:p>
        </w:tc>
        <w:tc>
          <w:tcPr>
            <w:tcW w:type="dxa" w:w="24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Formato output</w:t>
            </w:r>
          </w:p>
        </w:tc>
        <w:tc>
          <w:tcPr>
            <w:tcW w:type="dxa" w:w="48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Uso tipico</w:t>
            </w:r>
          </w:p>
        </w:tc>
      </w:tr>
      <w:tr>
        <w:tc>
          <w:tcPr>
            <w:tcW w:type="dxa" w:w="1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Fino a 20</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Report dettagliato — scheda per ogni ponte</w:t>
            </w:r>
          </w:p>
        </w:tc>
        <w:tc>
          <w:tcPr>
            <w:tcW w:type="dxa" w:w="48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Comune piccolo, lotto specifico di una gara, verifica puntuale su un inventario limitato.</w:t>
            </w:r>
          </w:p>
        </w:tc>
      </w:tr>
      <w:tr>
        <w:tc>
          <w:tcPr>
            <w:tcW w:type="dxa" w:w="1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Da 20 a 100</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Report per cluster — top 5-10 con scheda, resto in tabella</w:t>
            </w:r>
          </w:p>
        </w:tc>
        <w:tc>
          <w:tcPr>
            <w:tcW w:type="dxa" w:w="48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Provincia, società di ingegneria media, gestore di un corridoio infrastrutturale.</w:t>
            </w:r>
          </w:p>
        </w:tc>
      </w:tr>
      <w:tr>
        <w:tc>
          <w:tcPr>
            <w:tcW w:type="dxa" w:w="1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Oltre 100</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Report executive — distribuzione per livello di attenzione, top 10 con scheda</w:t>
            </w:r>
          </w:p>
        </w:tc>
        <w:tc>
          <w:tcPr>
            <w:tcW w:type="dxa" w:w="48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Grande concessionaria, ente regionale, società con inventario nazionale.</w:t>
            </w:r>
          </w:p>
        </w:tc>
      </w:tr>
    </w:tbl>
    <w:p>
      <w:pPr>
        <w:spacing w:after="0" w:before="0"/>
      </w:pPr>
      <w:r>
        <w:rPr>
          <w:sz w:val="24"/>
          <w:szCs w:val="24"/>
        </w:rPr>
        <w:t xml:space="preserve"/>
      </w:r>
    </w:p>
    <w:p>
      <w:pPr>
        <w:pStyle w:val="Heading2"/>
        <w:spacing w:after="120" w:before="320"/>
      </w:pPr>
      <w:r>
        <w:rPr>
          <w:rFonts w:ascii="Arial" w:cs="Arial" w:eastAsia="Arial" w:hAnsi="Arial"/>
          <w:b/>
          <w:bCs/>
          <w:color w:val="B8860B"/>
          <w:sz w:val="26"/>
          <w:szCs w:val="26"/>
        </w:rPr>
        <w:t xml:space="preserve">4.2 Livelli di attenzione — tre fasce</w:t>
      </w:r>
    </w:p>
    <w:p>
      <w:pPr>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Livello</w:t>
            </w:r>
          </w:p>
        </w:tc>
        <w:tc>
          <w:tcPr>
            <w:tcW w:type="dxa" w:w="28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Condizione</w:t>
            </w:r>
          </w:p>
        </w:tc>
        <w:tc>
          <w:tcPr>
            <w:tcW w:type="dxa" w:w="42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Azione raccomandata</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Attenzione immediata</w:t>
            </w:r>
          </w:p>
        </w:tc>
        <w:tc>
          <w:tcPr>
            <w:tcW w:type="dxa" w:w="2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Asset Priority Score &gt; 75 OPPURE Proximity Score elevato con caso ARCUS entro 1km</w:t>
            </w:r>
          </w:p>
        </w:tc>
        <w:tc>
          <w:tcPr>
            <w:tcW w:type="dxa" w:w="42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Ispezione prima della prossima stagione di rischio: autunno per rischio idraulico, primavera per rischio frana.</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Attenzione programmata</w:t>
            </w:r>
          </w:p>
        </w:tc>
        <w:tc>
          <w:tcPr>
            <w:tcW w:type="dxa" w:w="2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Score tra 50 e 75</w:t>
            </w:r>
          </w:p>
        </w:tc>
        <w:tc>
          <w:tcPr>
            <w:tcW w:type="dxa" w:w="42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Inserire nel piano di ispezione annuale con priorità rispetto agli asset sotto soglia.</w:t>
            </w:r>
          </w:p>
        </w:tc>
      </w:tr>
      <w:tr>
        <w:tc>
          <w:tcPr>
            <w:tcW w:type="dxa" w:w="20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Monitoraggio ordinario</w:t>
            </w:r>
          </w:p>
        </w:tc>
        <w:tc>
          <w:tcPr>
            <w:tcW w:type="dxa" w:w="28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Score sotto 50</w:t>
            </w:r>
          </w:p>
        </w:tc>
        <w:tc>
          <w:tcPr>
            <w:tcW w:type="dxa" w:w="42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Nessuna urgenza specifica. Ispezione secondo calendario ordinario.</w:t>
            </w:r>
          </w:p>
        </w:tc>
      </w:tr>
    </w:tbl>
    <w:p>
      <w:pPr>
        <w:spacing w:after="0" w:before="0"/>
      </w:pPr>
      <w:r>
        <w:rPr>
          <w:sz w:val="16"/>
          <w:szCs w:val="16"/>
        </w:rPr>
        <w:t xml:space="preserve"/>
      </w:r>
    </w:p>
    <w:p>
      <w:pPr>
        <w:spacing w:after="60" w:before="40"/>
      </w:pPr>
      <w:r>
        <w:rPr>
          <w:rFonts w:ascii="Arial" w:cs="Arial" w:eastAsia="Arial" w:hAnsi="Arial"/>
          <w:i/>
          <w:iCs/>
          <w:color w:val="555555"/>
          <w:sz w:val="20"/>
          <w:szCs w:val="20"/>
        </w:rPr>
        <w:t xml:space="preserve">Le soglie numeriche sono calibrabili. Nella v1 sono definite su base ragionata e aggiornabili quando si dispone di dati sufficienti sulla distribuzione reale degli score sul patrimonio italiano.</w:t>
      </w:r>
    </w:p>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5. Matrice di monitoraggio — raccomandazioni per Hazard Profile</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La matrice è fissa e applicata automaticamente dal sistema in base all'Hazard Profile del singolo ponte. Non è personalizzazione manuale. Le raccomandazioni sono differenziate per geomorfologia quando l'Hazard Profile è idraulico.</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5.1 Hydraulic — torrente alpino / canale confinato</w:t>
      </w:r>
    </w:p>
    <w:p>
      <w:pPr>
        <w:pStyle w:val="ListParagraph"/>
        <w:numPr>
          <w:ilvl w:val="0"/>
          <w:numId w:val="2"/>
        </w:numPr>
        <w:spacing w:after="60" w:before="40"/>
      </w:pPr>
      <w:r>
        <w:rPr>
          <w:rFonts w:ascii="Arial" w:cs="Arial" w:eastAsia="Arial" w:hAnsi="Arial"/>
          <w:color w:val="3D3D3D"/>
          <w:sz w:val="22"/>
          <w:szCs w:val="22"/>
        </w:rPr>
        <w:t xml:space="preserve">Ispezione visiva post-evento dopo ogni piena con TR stimato superiore a 2 anni.</w:t>
      </w:r>
    </w:p>
    <w:p>
      <w:pPr>
        <w:pStyle w:val="ListParagraph"/>
        <w:numPr>
          <w:ilvl w:val="0"/>
          <w:numId w:val="2"/>
        </w:numPr>
        <w:spacing w:after="60" w:before="40"/>
      </w:pPr>
      <w:r>
        <w:rPr>
          <w:rFonts w:ascii="Arial" w:cs="Arial" w:eastAsia="Arial" w:hAnsi="Arial"/>
          <w:color w:val="3D3D3D"/>
          <w:sz w:val="22"/>
          <w:szCs w:val="22"/>
        </w:rPr>
        <w:t xml:space="preserve">Verifica dello scalzamento alle fondazioni con sonda o ispezione subacquea se la profondità lo richiede. Se underwater_inspection = no nel file input, questa diventa la prima raccomandazione prioritaria.</w:t>
      </w:r>
    </w:p>
    <w:p>
      <w:pPr>
        <w:pStyle w:val="ListParagraph"/>
        <w:numPr>
          <w:ilvl w:val="0"/>
          <w:numId w:val="2"/>
        </w:numPr>
        <w:spacing w:after="60" w:before="40"/>
      </w:pPr>
      <w:r>
        <w:rPr>
          <w:rFonts w:ascii="Arial" w:cs="Arial" w:eastAsia="Arial" w:hAnsi="Arial"/>
          <w:color w:val="3D3D3D"/>
          <w:sz w:val="22"/>
          <w:szCs w:val="22"/>
        </w:rPr>
        <w:t xml:space="preserve">Lettura dei dati idrometrici della stazione più vicina a monte — verifica se disponibile in rete pubblica ARPA regionale.</w:t>
      </w:r>
    </w:p>
    <w:p>
      <w:pPr>
        <w:pStyle w:val="ListParagraph"/>
        <w:numPr>
          <w:ilvl w:val="0"/>
          <w:numId w:val="2"/>
        </w:numPr>
        <w:spacing w:after="60" w:before="40"/>
      </w:pPr>
      <w:r>
        <w:rPr>
          <w:rFonts w:ascii="Arial" w:cs="Arial" w:eastAsia="Arial" w:hAnsi="Arial"/>
          <w:color w:val="3D3D3D"/>
          <w:sz w:val="22"/>
          <w:szCs w:val="22"/>
        </w:rPr>
        <w:t xml:space="preserve">Ispezione annuale di pile e spalle con attenzione a erosione localizzata, depositi e variazioni del profilo del letto.</w:t>
      </w:r>
    </w:p>
    <w:p>
      <w:pPr>
        <w:pStyle w:val="ListParagraph"/>
        <w:numPr>
          <w:ilvl w:val="0"/>
          <w:numId w:val="2"/>
        </w:numPr>
        <w:spacing w:after="60" w:before="40"/>
      </w:pPr>
      <w:r>
        <w:rPr>
          <w:rFonts w:ascii="Arial" w:cs="Arial" w:eastAsia="Arial" w:hAnsi="Arial"/>
          <w:color w:val="3D3D3D"/>
          <w:sz w:val="22"/>
          <w:szCs w:val="22"/>
        </w:rPr>
        <w:t xml:space="preserve">Per ponti con Proximity Score alto (caso ARCUS entro 500m): verifica della quota di progetto rispetto al profilo di piena TR200 documentato nell'evento storico di riferimento.</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5.2 Hydraulic — fiume di pianura / corso d'acqua a deflusso lento</w:t>
      </w:r>
    </w:p>
    <w:p>
      <w:pPr>
        <w:pStyle w:val="ListParagraph"/>
        <w:numPr>
          <w:ilvl w:val="0"/>
          <w:numId w:val="2"/>
        </w:numPr>
        <w:spacing w:after="60" w:before="40"/>
      </w:pPr>
      <w:r>
        <w:rPr>
          <w:rFonts w:ascii="Arial" w:cs="Arial" w:eastAsia="Arial" w:hAnsi="Arial"/>
          <w:color w:val="3D3D3D"/>
          <w:sz w:val="22"/>
          <w:szCs w:val="22"/>
        </w:rPr>
        <w:t xml:space="preserve">Verifica del franco idraulico residuo rispetto alla quota di piena TR100. Dato minimo da richiedere: modello idraulico o studio preliminare con scenari TR100/TR200.</w:t>
      </w:r>
    </w:p>
    <w:p>
      <w:pPr>
        <w:pStyle w:val="ListParagraph"/>
        <w:numPr>
          <w:ilvl w:val="0"/>
          <w:numId w:val="2"/>
        </w:numPr>
        <w:spacing w:after="60" w:before="40"/>
      </w:pPr>
      <w:r>
        <w:rPr>
          <w:rFonts w:ascii="Arial" w:cs="Arial" w:eastAsia="Arial" w:hAnsi="Arial"/>
          <w:color w:val="3D3D3D"/>
          <w:sz w:val="22"/>
          <w:szCs w:val="22"/>
        </w:rPr>
        <w:t xml:space="preserve">Ispezione delle spalle e dei rilevati di accesso dopo eventi di esondazione. Attenzione a erosione spondale progressiva.</w:t>
      </w:r>
    </w:p>
    <w:p>
      <w:pPr>
        <w:pStyle w:val="ListParagraph"/>
        <w:numPr>
          <w:ilvl w:val="0"/>
          <w:numId w:val="2"/>
        </w:numPr>
        <w:spacing w:after="60" w:before="40"/>
      </w:pPr>
      <w:r>
        <w:rPr>
          <w:rFonts w:ascii="Arial" w:cs="Arial" w:eastAsia="Arial" w:hAnsi="Arial"/>
          <w:color w:val="3D3D3D"/>
          <w:sz w:val="22"/>
          <w:szCs w:val="22"/>
        </w:rPr>
        <w:t xml:space="preserve">Monitoraggio dello stato degli appoggi e dei giunti per effetti di sommersione prolungata — degrado accelerato in ponti ante-1980.</w:t>
      </w:r>
    </w:p>
    <w:p>
      <w:pPr>
        <w:pStyle w:val="ListParagraph"/>
        <w:numPr>
          <w:ilvl w:val="0"/>
          <w:numId w:val="2"/>
        </w:numPr>
        <w:spacing w:after="60" w:before="40"/>
      </w:pPr>
      <w:r>
        <w:rPr>
          <w:rFonts w:ascii="Arial" w:cs="Arial" w:eastAsia="Arial" w:hAnsi="Arial"/>
          <w:color w:val="3D3D3D"/>
          <w:sz w:val="22"/>
          <w:szCs w:val="22"/>
        </w:rPr>
        <w:t xml:space="preserve">Verifica della sensibilità al rigurgito se il ponte è in prossimità di confluenze o di manufatti idraulici a valle.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5.3 Landslide</w:t>
      </w:r>
    </w:p>
    <w:p>
      <w:pPr>
        <w:pStyle w:val="ListParagraph"/>
        <w:numPr>
          <w:ilvl w:val="0"/>
          <w:numId w:val="2"/>
        </w:numPr>
        <w:spacing w:after="60" w:before="40"/>
      </w:pPr>
      <w:r>
        <w:rPr>
          <w:rFonts w:ascii="Arial" w:cs="Arial" w:eastAsia="Arial" w:hAnsi="Arial"/>
          <w:color w:val="3D3D3D"/>
          <w:sz w:val="22"/>
          <w:szCs w:val="22"/>
        </w:rPr>
        <w:t xml:space="preserve">Verifica periodica della stabilità del versante a monte e a valle — confronto con perimetrazione PAI aggiornata.</w:t>
      </w:r>
    </w:p>
    <w:p>
      <w:pPr>
        <w:pStyle w:val="ListParagraph"/>
        <w:numPr>
          <w:ilvl w:val="0"/>
          <w:numId w:val="2"/>
        </w:numPr>
        <w:spacing w:after="60" w:before="40"/>
      </w:pPr>
      <w:r>
        <w:rPr>
          <w:rFonts w:ascii="Arial" w:cs="Arial" w:eastAsia="Arial" w:hAnsi="Arial"/>
          <w:color w:val="3D3D3D"/>
          <w:sz w:val="22"/>
          <w:szCs w:val="22"/>
        </w:rPr>
        <w:t xml:space="preserve">Ispezione delle spalle per segnali di movimento: fessurazioni, fuori piombo, cedimenti differenziali, variazioni nella geometria dei giunti.</w:t>
      </w:r>
    </w:p>
    <w:p>
      <w:pPr>
        <w:pStyle w:val="ListParagraph"/>
        <w:numPr>
          <w:ilvl w:val="0"/>
          <w:numId w:val="2"/>
        </w:numPr>
        <w:spacing w:after="60" w:before="40"/>
      </w:pPr>
      <w:r>
        <w:rPr>
          <w:rFonts w:ascii="Arial" w:cs="Arial" w:eastAsia="Arial" w:hAnsi="Arial"/>
          <w:color w:val="3D3D3D"/>
          <w:sz w:val="22"/>
          <w:szCs w:val="22"/>
        </w:rPr>
        <w:t xml:space="preserve">Se il versante è classificato attivo da PAI: valutare installazione di strumentazione inclinometrica e confronto con rete di monitoraggio regionale esistente.</w:t>
      </w:r>
    </w:p>
    <w:p>
      <w:pPr>
        <w:pStyle w:val="ListParagraph"/>
        <w:numPr>
          <w:ilvl w:val="0"/>
          <w:numId w:val="2"/>
        </w:numPr>
        <w:spacing w:after="60" w:before="40"/>
      </w:pPr>
      <w:r>
        <w:rPr>
          <w:rFonts w:ascii="Arial" w:cs="Arial" w:eastAsia="Arial" w:hAnsi="Arial"/>
          <w:color w:val="3D3D3D"/>
          <w:sz w:val="22"/>
          <w:szCs w:val="22"/>
        </w:rPr>
        <w:t xml:space="preserve">Verifica del sistema di drenaggio superficiale a monte del ponte — ostruzione dei drenaggi è spesso precursore di attivazione.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5.4 Seismic</w:t>
      </w:r>
    </w:p>
    <w:p>
      <w:pPr>
        <w:pStyle w:val="ListParagraph"/>
        <w:numPr>
          <w:ilvl w:val="0"/>
          <w:numId w:val="2"/>
        </w:numPr>
        <w:spacing w:after="60" w:before="40"/>
      </w:pPr>
      <w:r>
        <w:rPr>
          <w:rFonts w:ascii="Arial" w:cs="Arial" w:eastAsia="Arial" w:hAnsi="Arial"/>
          <w:color w:val="3D3D3D"/>
          <w:sz w:val="22"/>
          <w:szCs w:val="22"/>
        </w:rPr>
        <w:t xml:space="preserve">Ispezione degli appoggi e dei dispositivi antisismici se presenti — verifica dello stato e dell'efficienza funzionale.</w:t>
      </w:r>
    </w:p>
    <w:p>
      <w:pPr>
        <w:pStyle w:val="ListParagraph"/>
        <w:numPr>
          <w:ilvl w:val="0"/>
          <w:numId w:val="2"/>
        </w:numPr>
        <w:spacing w:after="60" w:before="40"/>
      </w:pPr>
      <w:r>
        <w:rPr>
          <w:rFonts w:ascii="Arial" w:cs="Arial" w:eastAsia="Arial" w:hAnsi="Arial"/>
          <w:color w:val="3D3D3D"/>
          <w:sz w:val="22"/>
          <w:szCs w:val="22"/>
        </w:rPr>
        <w:t xml:space="preserve">Verifica delle connessioni impalcato-sottostruttura: mensole, denti di appoggio, capriavi antisismici.</w:t>
      </w:r>
    </w:p>
    <w:p>
      <w:pPr>
        <w:pStyle w:val="ListParagraph"/>
        <w:numPr>
          <w:ilvl w:val="0"/>
          <w:numId w:val="2"/>
        </w:numPr>
        <w:spacing w:after="60" w:before="40"/>
      </w:pPr>
      <w:r>
        <w:rPr>
          <w:rFonts w:ascii="Arial" w:cs="Arial" w:eastAsia="Arial" w:hAnsi="Arial"/>
          <w:color w:val="3D3D3D"/>
          <w:sz w:val="22"/>
          <w:szCs w:val="22"/>
        </w:rPr>
        <w:t xml:space="preserve">Per ponti ante-1980 in zona sismica 1 o 2: priorità alla valutazione della vulnerabilità sismica prima di qualsiasi altro intervento. Questo supera in urgenza qualsiasi altra raccomandazione.</w:t>
      </w:r>
    </w:p>
    <w:p>
      <w:pPr>
        <w:pStyle w:val="ListParagraph"/>
        <w:numPr>
          <w:ilvl w:val="0"/>
          <w:numId w:val="2"/>
        </w:numPr>
        <w:spacing w:after="60" w:before="40"/>
      </w:pPr>
      <w:r>
        <w:rPr>
          <w:rFonts w:ascii="Arial" w:cs="Arial" w:eastAsia="Arial" w:hAnsi="Arial"/>
          <w:color w:val="3D3D3D"/>
          <w:sz w:val="22"/>
          <w:szCs w:val="22"/>
        </w:rPr>
        <w:t xml:space="preserve">Verifica della regolarità strutturale — pile di altezza diseguale o impalcati non ortogonali alla direzione sismica aumentano la vulnerabilità.</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5.5 Multi-hazard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Categoria più critica. Due o più segnali dominanti simultanei indicano che le ispezioni non possono essere eseguite separatamente da specialisti diversi senza coordinamento. Il rischio di sottovalutazione è massimo quando ogni specialista vede solo il suo hazard.</w:t>
            </w:r>
          </w:p>
        </w:tc>
      </w:tr>
    </w:tbl>
    <w:p>
      <w:pPr>
        <w:spacing w:after="0" w:before="0"/>
      </w:pPr>
      <w:r>
        <w:rPr>
          <w:sz w:val="8"/>
          <w:szCs w:val="8"/>
        </w:rPr>
        <w:t xml:space="preserve"/>
      </w:r>
    </w:p>
    <w:p>
      <w:pPr>
        <w:pStyle w:val="ListParagraph"/>
        <w:numPr>
          <w:ilvl w:val="0"/>
          <w:numId w:val="2"/>
        </w:numPr>
        <w:spacing w:after="60" w:before="40"/>
      </w:pPr>
      <w:r>
        <w:rPr>
          <w:rFonts w:ascii="Arial" w:cs="Arial" w:eastAsia="Arial" w:hAnsi="Arial"/>
          <w:color w:val="3D3D3D"/>
          <w:sz w:val="22"/>
          <w:szCs w:val="22"/>
        </w:rPr>
        <w:t xml:space="preserve">Raccomandazione obbligatoria: ispezione coordinata tra specialista idraulico e strutturista, con report integrato.</w:t>
      </w:r>
    </w:p>
    <w:p>
      <w:pPr>
        <w:pStyle w:val="ListParagraph"/>
        <w:numPr>
          <w:ilvl w:val="0"/>
          <w:numId w:val="2"/>
        </w:numPr>
        <w:spacing w:after="60" w:before="40"/>
      </w:pPr>
      <w:r>
        <w:rPr>
          <w:rFonts w:ascii="Arial" w:cs="Arial" w:eastAsia="Arial" w:hAnsi="Arial"/>
          <w:color w:val="3D3D3D"/>
          <w:sz w:val="22"/>
          <w:szCs w:val="22"/>
        </w:rPr>
        <w:t xml:space="preserve">Se idraulico + sismico: priorità assoluta alla verifica delle fondazioni — vulnerabili sia allo scour che all'azione sismica.</w:t>
      </w:r>
    </w:p>
    <w:p>
      <w:pPr>
        <w:pStyle w:val="ListParagraph"/>
        <w:numPr>
          <w:ilvl w:val="0"/>
          <w:numId w:val="2"/>
        </w:numPr>
        <w:spacing w:after="60" w:before="40"/>
      </w:pPr>
      <w:r>
        <w:rPr>
          <w:rFonts w:ascii="Arial" w:cs="Arial" w:eastAsia="Arial" w:hAnsi="Arial"/>
          <w:color w:val="3D3D3D"/>
          <w:sz w:val="22"/>
          <w:szCs w:val="22"/>
        </w:rPr>
        <w:t xml:space="preserve">Se idraulico + frana: verifica del versante in condizioni di saturazione — il rischio frana aumenta durante eventi di piena prolungata.</w:t>
      </w:r>
    </w:p>
    <w:p>
      <w:pPr>
        <w:pStyle w:val="ListParagraph"/>
        <w:numPr>
          <w:ilvl w:val="0"/>
          <w:numId w:val="2"/>
        </w:numPr>
        <w:spacing w:after="60" w:before="40"/>
      </w:pPr>
      <w:r>
        <w:rPr>
          <w:rFonts w:ascii="Arial" w:cs="Arial" w:eastAsia="Arial" w:hAnsi="Arial"/>
          <w:color w:val="3D3D3D"/>
          <w:sz w:val="22"/>
          <w:szCs w:val="22"/>
        </w:rPr>
        <w:t xml:space="preserve">Se frana + sismico: verifica degli effetti di sito — versanti instabili amplificano l'azione sismica locale.</w:t>
      </w:r>
    </w:p>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6. Struttura degli output PDF</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I due PDF seguono la stessa logica del Path 01 — full report e one-page brief — con struttura adattata al contesto di patrimonio esistente.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6.1 Full PDF — struttura per sezioni</w:t>
      </w:r>
    </w:p>
    <w:p>
      <w:pPr>
        <w:spacing w:after="0" w:before="0"/>
      </w:pPr>
      <w:r>
        <w:rPr>
          <w:sz w:val="8"/>
          <w:szCs w:val="8"/>
        </w:rPr>
        <w:t xml:space="preserve"/>
      </w:r>
    </w:p>
    <w:p>
      <w:pPr>
        <w:pStyle w:val="ListParagraph"/>
        <w:numPr>
          <w:ilvl w:val="0"/>
          <w:numId w:val="3"/>
        </w:numPr>
        <w:spacing w:after="60" w:before="40"/>
      </w:pPr>
      <w:r>
        <w:rPr>
          <w:rFonts w:ascii="Arial" w:cs="Arial" w:eastAsia="Arial" w:hAnsi="Arial"/>
          <w:b/>
          <w:bCs/>
          <w:color w:val="1A1A1A"/>
          <w:sz w:val="22"/>
          <w:szCs w:val="22"/>
        </w:rPr>
        <w:t xml:space="preserve">01 </w:t>
      </w:r>
      <w:r>
        <w:rPr>
          <w:rFonts w:ascii="Arial" w:cs="Arial" w:eastAsia="Arial" w:hAnsi="Arial"/>
          <w:color w:val="3D3D3D"/>
          <w:sz w:val="22"/>
          <w:szCs w:val="22"/>
        </w:rPr>
        <w:t xml:space="preserve">Cover — nome file caricato, numero asset analizzati, data upload, provincia/territorio, decision message sintetico.</w:t>
      </w:r>
    </w:p>
    <w:p>
      <w:pPr>
        <w:pStyle w:val="ListParagraph"/>
        <w:numPr>
          <w:ilvl w:val="0"/>
          <w:numId w:val="3"/>
        </w:numPr>
        <w:spacing w:after="60" w:before="40"/>
      </w:pPr>
      <w:r>
        <w:rPr>
          <w:rFonts w:ascii="Arial" w:cs="Arial" w:eastAsia="Arial" w:hAnsi="Arial"/>
          <w:b/>
          <w:bCs/>
          <w:color w:val="1A1A1A"/>
          <w:sz w:val="22"/>
          <w:szCs w:val="22"/>
        </w:rPr>
        <w:t xml:space="preserve">02 </w:t>
      </w:r>
      <w:r>
        <w:rPr>
          <w:rFonts w:ascii="Arial" w:cs="Arial" w:eastAsia="Arial" w:hAnsi="Arial"/>
          <w:color w:val="3D3D3D"/>
          <w:sz w:val="22"/>
          <w:szCs w:val="22"/>
        </w:rPr>
        <w:t xml:space="preserve">Executive Summary — distribuzione del patrimonio per livello di attenzione (quanti in immediata, programmata, ordinaria). Collapse Rate provinciale di contesto da Path 01 se disponibile.</w:t>
      </w:r>
    </w:p>
    <w:p>
      <w:pPr>
        <w:pStyle w:val="ListParagraph"/>
        <w:numPr>
          <w:ilvl w:val="0"/>
          <w:numId w:val="3"/>
        </w:numPr>
        <w:spacing w:after="60" w:before="40"/>
      </w:pPr>
      <w:r>
        <w:rPr>
          <w:rFonts w:ascii="Arial" w:cs="Arial" w:eastAsia="Arial" w:hAnsi="Arial"/>
          <w:b/>
          <w:bCs/>
          <w:color w:val="1A1A1A"/>
          <w:sz w:val="22"/>
          <w:szCs w:val="22"/>
        </w:rPr>
        <w:t xml:space="preserve">03 </w:t>
      </w:r>
      <w:r>
        <w:rPr>
          <w:rFonts w:ascii="Arial" w:cs="Arial" w:eastAsia="Arial" w:hAnsi="Arial"/>
          <w:color w:val="3D3D3D"/>
          <w:sz w:val="22"/>
          <w:szCs w:val="22"/>
        </w:rPr>
        <w:t xml:space="preserve">Asset Map — mappa georeferenziata di tutti gli asset caricati con colore/simbolo per livello di attenzione. Sovrapposta ai layer WMS attivi.</w:t>
      </w:r>
    </w:p>
    <w:p>
      <w:pPr>
        <w:pStyle w:val="ListParagraph"/>
        <w:numPr>
          <w:ilvl w:val="0"/>
          <w:numId w:val="3"/>
        </w:numPr>
        <w:spacing w:after="60" w:before="40"/>
      </w:pPr>
      <w:r>
        <w:rPr>
          <w:rFonts w:ascii="Arial" w:cs="Arial" w:eastAsia="Arial" w:hAnsi="Arial"/>
          <w:b/>
          <w:bCs/>
          <w:color w:val="1A1A1A"/>
          <w:sz w:val="22"/>
          <w:szCs w:val="22"/>
        </w:rPr>
        <w:t xml:space="preserve">04 </w:t>
      </w:r>
      <w:r>
        <w:rPr>
          <w:rFonts w:ascii="Arial" w:cs="Arial" w:eastAsia="Arial" w:hAnsi="Arial"/>
          <w:color w:val="3D3D3D"/>
          <w:sz w:val="22"/>
          <w:szCs w:val="22"/>
        </w:rPr>
        <w:t xml:space="preserve">Watchlist prioritizzata — tabella completa ordinata per Asset Priority Score decrescente. Colonne: ID ponte, Comune, Priority Score, Hazard Profile, Livello di attenzione, Proximity Score.</w:t>
      </w:r>
    </w:p>
    <w:p>
      <w:pPr>
        <w:pStyle w:val="ListParagraph"/>
        <w:numPr>
          <w:ilvl w:val="0"/>
          <w:numId w:val="3"/>
        </w:numPr>
        <w:spacing w:after="60" w:before="40"/>
      </w:pPr>
      <w:r>
        <w:rPr>
          <w:rFonts w:ascii="Arial" w:cs="Arial" w:eastAsia="Arial" w:hAnsi="Arial"/>
          <w:b/>
          <w:bCs/>
          <w:color w:val="1A1A1A"/>
          <w:sz w:val="22"/>
          <w:szCs w:val="22"/>
        </w:rPr>
        <w:t xml:space="preserve">05 </w:t>
      </w:r>
      <w:r>
        <w:rPr>
          <w:rFonts w:ascii="Arial" w:cs="Arial" w:eastAsia="Arial" w:hAnsi="Arial"/>
          <w:color w:val="3D3D3D"/>
          <w:sz w:val="22"/>
          <w:szCs w:val="22"/>
        </w:rPr>
        <w:t xml:space="preserve">Schede asset critici — scheda dettagliata per i top asset in 'Attenzione immediata'. Numero di schede: tutti se volume ≤20, top 10 se volume 20-100, top 5 se volume &gt;100.</w:t>
      </w:r>
    </w:p>
    <w:p>
      <w:pPr>
        <w:pStyle w:val="ListParagraph"/>
        <w:numPr>
          <w:ilvl w:val="0"/>
          <w:numId w:val="3"/>
        </w:numPr>
        <w:spacing w:after="60" w:before="40"/>
      </w:pPr>
      <w:r>
        <w:rPr>
          <w:rFonts w:ascii="Arial" w:cs="Arial" w:eastAsia="Arial" w:hAnsi="Arial"/>
          <w:b/>
          <w:bCs/>
          <w:color w:val="1A1A1A"/>
          <w:sz w:val="22"/>
          <w:szCs w:val="22"/>
        </w:rPr>
        <w:t xml:space="preserve">06 </w:t>
      </w:r>
      <w:r>
        <w:rPr>
          <w:rFonts w:ascii="Arial" w:cs="Arial" w:eastAsia="Arial" w:hAnsi="Arial"/>
          <w:color w:val="3D3D3D"/>
          <w:sz w:val="22"/>
          <w:szCs w:val="22"/>
        </w:rPr>
        <w:t xml:space="preserve">Raccomandazioni per cluster di rischio — non per singolo asset ma per categoria: tutti i ponti idraulici ad alta esposizione, tutti in zona frana, ecc. Permette pianificazione per campagne tematiche.</w:t>
      </w:r>
    </w:p>
    <w:p>
      <w:pPr>
        <w:pStyle w:val="ListParagraph"/>
        <w:numPr>
          <w:ilvl w:val="0"/>
          <w:numId w:val="3"/>
        </w:numPr>
        <w:spacing w:after="60" w:before="40"/>
      </w:pPr>
      <w:r>
        <w:rPr>
          <w:rFonts w:ascii="Arial" w:cs="Arial" w:eastAsia="Arial" w:hAnsi="Arial"/>
          <w:b/>
          <w:bCs/>
          <w:color w:val="1A1A1A"/>
          <w:sz w:val="22"/>
          <w:szCs w:val="22"/>
        </w:rPr>
        <w:t xml:space="preserve">07 </w:t>
      </w:r>
      <w:r>
        <w:rPr>
          <w:rFonts w:ascii="Arial" w:cs="Arial" w:eastAsia="Arial" w:hAnsi="Arial"/>
          <w:color w:val="3D3D3D"/>
          <w:sz w:val="22"/>
          <w:szCs w:val="22"/>
        </w:rPr>
        <w:t xml:space="preserve">Methodology Snapshot — calcolo Asset Priority Score, logica Proximity Score, matrice Hazard Profile, note su hydraulic cause category, AINOP coverage, evidence classes.</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6.2 One-Page Brief — struttura</w:t>
      </w:r>
    </w:p>
    <w:p>
      <w:pPr>
        <w:spacing w:after="0" w:before="0"/>
      </w:pPr>
      <w:r>
        <w:rPr>
          <w:sz w:val="8"/>
          <w:szCs w:val="8"/>
        </w:rPr>
        <w:t xml:space="preserve"/>
      </w:r>
    </w:p>
    <w:p>
      <w:pPr>
        <w:pStyle w:val="ListParagraph"/>
        <w:numPr>
          <w:ilvl w:val="0"/>
          <w:numId w:val="2"/>
        </w:numPr>
        <w:spacing w:after="60" w:before="40"/>
      </w:pPr>
      <w:r>
        <w:rPr>
          <w:rFonts w:ascii="Arial" w:cs="Arial" w:eastAsia="Arial" w:hAnsi="Arial"/>
          <w:color w:val="3D3D3D"/>
          <w:sz w:val="22"/>
          <w:szCs w:val="22"/>
        </w:rPr>
        <w:t xml:space="preserve">Header — nome file, numero asset, data, decision message.</w:t>
      </w:r>
    </w:p>
    <w:p>
      <w:pPr>
        <w:pStyle w:val="ListParagraph"/>
        <w:numPr>
          <w:ilvl w:val="0"/>
          <w:numId w:val="2"/>
        </w:numPr>
        <w:spacing w:after="60" w:before="40"/>
      </w:pPr>
      <w:r>
        <w:rPr>
          <w:rFonts w:ascii="Arial" w:cs="Arial" w:eastAsia="Arial" w:hAnsi="Arial"/>
          <w:color w:val="3D3D3D"/>
          <w:sz w:val="22"/>
          <w:szCs w:val="22"/>
        </w:rPr>
        <w:t xml:space="preserve">KPI row — asset totali, in attenzione immediata, in attenzione programmata, Collapse Rate provinciale di contesto.</w:t>
      </w:r>
    </w:p>
    <w:p>
      <w:pPr>
        <w:pStyle w:val="ListParagraph"/>
        <w:numPr>
          <w:ilvl w:val="0"/>
          <w:numId w:val="2"/>
        </w:numPr>
        <w:spacing w:after="60" w:before="40"/>
      </w:pPr>
      <w:r>
        <w:rPr>
          <w:rFonts w:ascii="Arial" w:cs="Arial" w:eastAsia="Arial" w:hAnsi="Arial"/>
          <w:color w:val="3D3D3D"/>
          <w:sz w:val="22"/>
          <w:szCs w:val="22"/>
        </w:rPr>
        <w:t xml:space="preserve">Asset Map ridotta — mappa con i soli asset in attenzione immediata evidenziati.</w:t>
      </w:r>
    </w:p>
    <w:p>
      <w:pPr>
        <w:pStyle w:val="ListParagraph"/>
        <w:numPr>
          <w:ilvl w:val="0"/>
          <w:numId w:val="2"/>
        </w:numPr>
        <w:spacing w:after="60" w:before="40"/>
      </w:pPr>
      <w:r>
        <w:rPr>
          <w:rFonts w:ascii="Arial" w:cs="Arial" w:eastAsia="Arial" w:hAnsi="Arial"/>
          <w:color w:val="3D3D3D"/>
          <w:sz w:val="22"/>
          <w:szCs w:val="22"/>
        </w:rPr>
        <w:t xml:space="preserve">Top 5 asset critici — tabella compatta con ID, comune, score, hazard profile.</w:t>
      </w:r>
    </w:p>
    <w:p>
      <w:pPr>
        <w:pStyle w:val="ListParagraph"/>
        <w:numPr>
          <w:ilvl w:val="0"/>
          <w:numId w:val="2"/>
        </w:numPr>
        <w:spacing w:after="60" w:before="40"/>
      </w:pPr>
      <w:r>
        <w:rPr>
          <w:rFonts w:ascii="Arial" w:cs="Arial" w:eastAsia="Arial" w:hAnsi="Arial"/>
          <w:color w:val="3D3D3D"/>
          <w:sz w:val="22"/>
          <w:szCs w:val="22"/>
        </w:rPr>
        <w:t xml:space="preserve">Raccomandazione di monitoraggio dominante — la categoria di rischio più rappresentata nel patrimonio analizzato.</w:t>
      </w:r>
    </w:p>
    <w:p>
      <w:pPr>
        <w:pStyle w:val="ListParagraph"/>
        <w:numPr>
          <w:ilvl w:val="0"/>
          <w:numId w:val="2"/>
        </w:numPr>
        <w:spacing w:after="60" w:before="40"/>
      </w:pPr>
      <w:r>
        <w:rPr>
          <w:rFonts w:ascii="Arial" w:cs="Arial" w:eastAsia="Arial" w:hAnsi="Arial"/>
          <w:color w:val="3D3D3D"/>
          <w:sz w:val="22"/>
          <w:szCs w:val="22"/>
        </w:rPr>
        <w:t xml:space="preserve">Data request package — dati minimi da richiedere per la categoria dominante.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6.3 Elemento differenziante rispetto al Path 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Il report Path 02 porta il nome e il codice del file caricato, la data dell'upload e un identificativo della sessione. Se il cliente ricarica il file sei mesi dopo con ponti aggiuntivi o dati aggiornati, il sistema genera un nuovo report con data diversa. Il confronto tra report successivi mostra come il profilo di rischio del patrimonio evolve nel tempo. Questo è il meccanismo che giustifica il rinnovo dell'abbonamento.</w:t>
            </w:r>
          </w:p>
        </w:tc>
      </w:tr>
    </w:tbl>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7. Pacchetto di export</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Il pacchetto di export del Path 02 segue la stessa logica del Path 01, con i file specifici per il contesto di patrimonio esistente.</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Export</w:t>
            </w:r>
          </w:p>
        </w:tc>
        <w:tc>
          <w:tcPr>
            <w:tcW w:type="dxa" w:w="2400"/>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Formato</w:t>
            </w:r>
          </w:p>
        </w:tc>
        <w:tc>
          <w:tcPr>
            <w:tcW w:type="dxa" w:w="4426"/>
            <w:tcBorders>
              <w:top w:val="single" w:color="D8D2C8" w:sz="1"/>
              <w:left w:val="single" w:color="D8D2C8" w:sz="1"/>
              <w:bottom w:val="single" w:color="D8D2C8" w:sz="1"/>
              <w:right w:val="single" w:color="D8D2C8" w:sz="1"/>
            </w:tcBorders>
            <w:shd w:fill="F5F2EC" w:val="clear"/>
            <w:tcMar>
              <w:top w:type="dxa" w:w="80"/>
              <w:left w:type="dxa" w:w="100"/>
              <w:bottom w:type="dxa" w:w="80"/>
              <w:right w:type="dxa" w:w="100"/>
            </w:tcMar>
          </w:tcPr>
          <w:p>
            <w:r>
              <w:rPr>
                <w:rFonts w:ascii="Arial" w:cs="Arial" w:eastAsia="Arial" w:hAnsi="Arial"/>
                <w:b/>
                <w:bCs/>
                <w:color w:val="B8860B"/>
                <w:sz w:val="18"/>
                <w:szCs w:val="18"/>
              </w:rPr>
              <w:t xml:space="preserve">Contenuto e uso</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Download Full PDF</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PDF</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Report completo con executive summary, watchlist, schede critici, raccomandazioni per cluster, methodology snapshot.</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Download One-Page Brief</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PDF</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Watchlist top asset e decision message. Il documento per la riunione di pianificazione ispezioni.</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Export Asset Table</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CSV</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Lista completa di tutti gli asset caricati con Priority Score, Hazard Profile, Proximity Score, livello di attenzione. Ordinata per Priority Score decrescente all'export — immediatamente filtrabile in Excel senza manipolazione.</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Export Source Table</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CSV</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Fonti ARCUS collegate agli asset critici. Stesso formato del Path 01. Per documentare le decisioni di ispezione con evidenza storica.</w:t>
            </w:r>
          </w:p>
        </w:tc>
      </w:tr>
      <w:tr>
        <w:tc>
          <w:tcPr>
            <w:tcW w:type="dxa" w:w="22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Export GIS Package</w:t>
            </w:r>
          </w:p>
        </w:tc>
        <w:tc>
          <w:tcPr>
            <w:tcW w:type="dxa" w:w="2400"/>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GeoJSON</w:t>
            </w:r>
          </w:p>
        </w:tc>
        <w:tc>
          <w:tcPr>
            <w:tcW w:type="dxa" w:w="4426"/>
            <w:tcBorders>
              <w:top w:val="single" w:color="D8D2C8" w:sz="1"/>
              <w:left w:val="single" w:color="D8D2C8" w:sz="1"/>
              <w:bottom w:val="single" w:color="D8D2C8" w:sz="1"/>
              <w:right w:val="single" w:color="D8D2C8" w:sz="1"/>
            </w:tcBorders>
            <w:tcMar>
              <w:top w:type="dxa" w:w="60"/>
              <w:left w:type="dxa" w:w="100"/>
              <w:bottom w:type="dxa" w:w="60"/>
              <w:right w:type="dxa" w:w="100"/>
            </w:tcMar>
          </w:tcPr>
          <w:p>
            <w:r>
              <w:rPr>
                <w:rFonts w:ascii="Arial" w:cs="Arial" w:eastAsia="Arial" w:hAnsi="Arial"/>
                <w:color w:val="3D3D3D"/>
                <w:sz w:val="19"/>
                <w:szCs w:val="19"/>
              </w:rPr>
              <w:t xml:space="preserve">Tutti gli asset posizionati con attributi Priority Score e Hazard Profile. Apribile direttamente in QGIS o ArcGIS sovrapposto ai layer WMS del cliente.</w:t>
            </w:r>
          </w:p>
        </w:tc>
      </w:tr>
    </w:tbl>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12"/>
              <w:bottom w:val="none" w:color="FFFFFF" w:sz="0"/>
              <w:right w:val="none" w:color="FFFFFF" w:sz="0"/>
            </w:tcBorders>
            <w:shd w:fill="F5F2EC" w:val="clear"/>
            <w:tcMar>
              <w:top w:type="dxa" w:w="120"/>
              <w:left w:type="dxa" w:w="200"/>
              <w:bottom w:type="dxa" w:w="120"/>
              <w:right w:type="dxa" w:w="160"/>
            </w:tcMar>
          </w:tcPr>
          <w:p>
            <w:pPr>
              <w:spacing w:after="0" w:before="0"/>
            </w:pPr>
            <w:r>
              <w:rPr>
                <w:rFonts w:ascii="Arial" w:cs="Arial" w:eastAsia="Arial" w:hAnsi="Arial"/>
                <w:color w:val="3D3D3D"/>
                <w:sz w:val="21"/>
                <w:szCs w:val="21"/>
              </w:rPr>
              <w:t xml:space="preserve">Nota tecnica Asset Table: il CSV deve avere le colonne ordinate per Priority Score decrescente già all'export. Piccolo dettaglio tecnico, grande differenza percepita nella qualità del prodotto da parte di chi lavora operativamente sul campo.</w:t>
            </w:r>
          </w:p>
        </w:tc>
      </w:tr>
    </w:tbl>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8. Flusso interfaccia — steps del Path 02</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Il flusso segue la stessa logica a step del Path 01, adattato al contesto di upload asset.</w:t>
      </w:r>
    </w:p>
    <w:p>
      <w:pPr>
        <w:spacing w:after="0" w:before="0"/>
      </w:pPr>
      <w:r>
        <w:rPr>
          <w:sz w:val="16"/>
          <w:szCs w:val="16"/>
        </w:rPr>
        <w:t xml:space="preserve"/>
      </w:r>
    </w:p>
    <w:p>
      <w:pPr>
        <w:pStyle w:val="ListParagraph"/>
        <w:numPr>
          <w:ilvl w:val="0"/>
          <w:numId w:val="3"/>
        </w:numPr>
        <w:spacing w:after="60" w:before="40"/>
      </w:pPr>
      <w:r>
        <w:rPr>
          <w:rFonts w:ascii="Arial" w:cs="Arial" w:eastAsia="Arial" w:hAnsi="Arial"/>
          <w:b/>
          <w:bCs/>
          <w:color w:val="1A1A1A"/>
          <w:sz w:val="22"/>
          <w:szCs w:val="22"/>
        </w:rPr>
        <w:t xml:space="preserve">Step 01 </w:t>
      </w:r>
      <w:r>
        <w:rPr>
          <w:rFonts w:ascii="Arial" w:cs="Arial" w:eastAsia="Arial" w:hAnsi="Arial"/>
          <w:color w:val="3D3D3D"/>
          <w:sz w:val="22"/>
          <w:szCs w:val="22"/>
        </w:rPr>
        <w:t xml:space="preserve">UPLOAD ASSET FILE — il cliente carica il CSV/Excel. Il sistema esegue validazione dei campi obbligatori e double check geografico. Mostra immediatamente: numero record validi, numero record con avvisi, numero record bloccati per mismatch.</w:t>
      </w:r>
    </w:p>
    <w:p>
      <w:pPr>
        <w:spacing w:after="0" w:before="0"/>
      </w:pPr>
      <w:r>
        <w:rPr>
          <w:sz w:val="8"/>
          <w:szCs w:val="8"/>
        </w:rPr>
        <w:t xml:space="preserve"/>
      </w:r>
    </w:p>
    <w:p>
      <w:pPr>
        <w:pStyle w:val="ListParagraph"/>
        <w:numPr>
          <w:ilvl w:val="0"/>
          <w:numId w:val="3"/>
        </w:numPr>
        <w:spacing w:after="60" w:before="40"/>
      </w:pPr>
      <w:r>
        <w:rPr>
          <w:rFonts w:ascii="Arial" w:cs="Arial" w:eastAsia="Arial" w:hAnsi="Arial"/>
          <w:b/>
          <w:bCs/>
          <w:color w:val="1A1A1A"/>
          <w:sz w:val="22"/>
          <w:szCs w:val="22"/>
        </w:rPr>
        <w:t xml:space="preserve">Step 02 </w:t>
      </w:r>
      <w:r>
        <w:rPr>
          <w:rFonts w:ascii="Arial" w:cs="Arial" w:eastAsia="Arial" w:hAnsi="Arial"/>
          <w:color w:val="3D3D3D"/>
          <w:sz w:val="22"/>
          <w:szCs w:val="22"/>
        </w:rPr>
        <w:t xml:space="preserve">CONFIGURE READING — scelta del contesto di lettura. Due opzioni: Monitoring priority (prioritizzare ispezioni e controlli sul patrimonio esistente) oppure Vulnerability assessment (valutare l'esposizione complessiva del patrimonio per reportistica o due diligence). Questa scelta cambia il linguaggio dell'output, non il calcolo degli indici.</w:t>
      </w:r>
    </w:p>
    <w:p>
      <w:pPr>
        <w:spacing w:after="0" w:before="0"/>
      </w:pPr>
      <w:r>
        <w:rPr>
          <w:sz w:val="8"/>
          <w:szCs w:val="8"/>
        </w:rPr>
        <w:t xml:space="preserve"/>
      </w:r>
    </w:p>
    <w:p>
      <w:pPr>
        <w:pStyle w:val="ListParagraph"/>
        <w:numPr>
          <w:ilvl w:val="0"/>
          <w:numId w:val="3"/>
        </w:numPr>
        <w:spacing w:after="60" w:before="40"/>
      </w:pPr>
      <w:r>
        <w:rPr>
          <w:rFonts w:ascii="Arial" w:cs="Arial" w:eastAsia="Arial" w:hAnsi="Arial"/>
          <w:b/>
          <w:bCs/>
          <w:color w:val="1A1A1A"/>
          <w:sz w:val="22"/>
          <w:szCs w:val="22"/>
        </w:rPr>
        <w:t xml:space="preserve">Step 03 </w:t>
      </w:r>
      <w:r>
        <w:rPr>
          <w:rFonts w:ascii="Arial" w:cs="Arial" w:eastAsia="Arial" w:hAnsi="Arial"/>
          <w:color w:val="3D3D3D"/>
          <w:sz w:val="22"/>
          <w:szCs w:val="22"/>
        </w:rPr>
        <w:t xml:space="preserve">PROCESS &amp; SCORE — il sistema calcola Asset Priority Score, Hazard Profile e Proximity Score per ogni asset. Mostra in anteprima: distribuzione per livello di attenzione, segnale dominante del patrimonio, numero di asset per Hazard Profile.</w:t>
      </w:r>
    </w:p>
    <w:p>
      <w:pPr>
        <w:spacing w:after="0" w:before="0"/>
      </w:pPr>
      <w:r>
        <w:rPr>
          <w:sz w:val="8"/>
          <w:szCs w:val="8"/>
        </w:rPr>
        <w:t xml:space="preserve"/>
      </w:r>
    </w:p>
    <w:p>
      <w:pPr>
        <w:pStyle w:val="ListParagraph"/>
        <w:numPr>
          <w:ilvl w:val="0"/>
          <w:numId w:val="3"/>
        </w:numPr>
        <w:spacing w:after="60" w:before="40"/>
      </w:pPr>
      <w:r>
        <w:rPr>
          <w:rFonts w:ascii="Arial" w:cs="Arial" w:eastAsia="Arial" w:hAnsi="Arial"/>
          <w:b/>
          <w:bCs/>
          <w:color w:val="1A1A1A"/>
          <w:sz w:val="22"/>
          <w:szCs w:val="22"/>
        </w:rPr>
        <w:t xml:space="preserve">Step 04 </w:t>
      </w:r>
      <w:r>
        <w:rPr>
          <w:rFonts w:ascii="Arial" w:cs="Arial" w:eastAsia="Arial" w:hAnsi="Arial"/>
          <w:color w:val="3D3D3D"/>
          <w:sz w:val="22"/>
          <w:szCs w:val="22"/>
        </w:rPr>
        <w:t xml:space="preserve">READ WATCHLIST — visualizzazione interattiva della watchlist prioritizzata con mappa. Il cliente può esplorare gli asset per livello di attenzione o per Hazard Profile prima di generare il report.</w:t>
      </w:r>
    </w:p>
    <w:p>
      <w:pPr>
        <w:spacing w:after="0" w:before="0"/>
      </w:pPr>
      <w:r>
        <w:rPr>
          <w:sz w:val="8"/>
          <w:szCs w:val="8"/>
        </w:rPr>
        <w:t xml:space="preserve"/>
      </w:r>
    </w:p>
    <w:p>
      <w:pPr>
        <w:pStyle w:val="ListParagraph"/>
        <w:numPr>
          <w:ilvl w:val="0"/>
          <w:numId w:val="3"/>
        </w:numPr>
        <w:spacing w:after="60" w:before="40"/>
      </w:pPr>
      <w:r>
        <w:rPr>
          <w:rFonts w:ascii="Arial" w:cs="Arial" w:eastAsia="Arial" w:hAnsi="Arial"/>
          <w:b/>
          <w:bCs/>
          <w:color w:val="1A1A1A"/>
          <w:sz w:val="22"/>
          <w:szCs w:val="22"/>
        </w:rPr>
        <w:t xml:space="preserve">Step 05 </w:t>
      </w:r>
      <w:r>
        <w:rPr>
          <w:rFonts w:ascii="Arial" w:cs="Arial" w:eastAsia="Arial" w:hAnsi="Arial"/>
          <w:color w:val="3D3D3D"/>
          <w:sz w:val="22"/>
          <w:szCs w:val="22"/>
        </w:rPr>
        <w:t xml:space="preserve">GENERATE REPORT — generazione del pacchetto completo. Mostra i KPI finali: asset totali analizzati, in attenzione immediata, Hazard Profile dominante del patrimonio, numero fonti ARCUS collegate.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8.1 Working package — pannello laterale</w:t>
      </w:r>
    </w:p>
    <w:p>
      <w:pPr>
        <w:spacing w:after="80" w:before="60"/>
      </w:pPr>
      <w:r>
        <w:rPr>
          <w:rFonts w:ascii="Arial" w:cs="Arial" w:eastAsia="Arial" w:hAnsi="Arial"/>
          <w:color w:val="3D3D3D"/>
          <w:sz w:val="22"/>
          <w:szCs w:val="22"/>
        </w:rPr>
        <w:t xml:space="preserve">Come nel Path 01, il pannello laterale mostra in tempo reale durante tutti gli step:</w:t>
      </w:r>
    </w:p>
    <w:p>
      <w:pPr>
        <w:pStyle w:val="ListParagraph"/>
        <w:numPr>
          <w:ilvl w:val="0"/>
          <w:numId w:val="2"/>
        </w:numPr>
        <w:spacing w:after="60" w:before="40"/>
      </w:pPr>
      <w:r>
        <w:rPr>
          <w:rFonts w:ascii="Arial" w:cs="Arial" w:eastAsia="Arial" w:hAnsi="Arial"/>
          <w:color w:val="3D3D3D"/>
          <w:sz w:val="22"/>
          <w:szCs w:val="22"/>
        </w:rPr>
        <w:t xml:space="preserve">Path: Existing Assets</w:t>
      </w:r>
    </w:p>
    <w:p>
      <w:pPr>
        <w:pStyle w:val="ListParagraph"/>
        <w:numPr>
          <w:ilvl w:val="0"/>
          <w:numId w:val="2"/>
        </w:numPr>
        <w:spacing w:after="60" w:before="40"/>
      </w:pPr>
      <w:r>
        <w:rPr>
          <w:rFonts w:ascii="Arial" w:cs="Arial" w:eastAsia="Arial" w:hAnsi="Arial"/>
          <w:color w:val="3D3D3D"/>
          <w:sz w:val="22"/>
          <w:szCs w:val="22"/>
        </w:rPr>
        <w:t xml:space="preserve">File caricato: nome file e data upload</w:t>
      </w:r>
    </w:p>
    <w:p>
      <w:pPr>
        <w:pStyle w:val="ListParagraph"/>
        <w:numPr>
          <w:ilvl w:val="0"/>
          <w:numId w:val="2"/>
        </w:numPr>
        <w:spacing w:after="60" w:before="40"/>
      </w:pPr>
      <w:r>
        <w:rPr>
          <w:rFonts w:ascii="Arial" w:cs="Arial" w:eastAsia="Arial" w:hAnsi="Arial"/>
          <w:color w:val="3D3D3D"/>
          <w:sz w:val="22"/>
          <w:szCs w:val="22"/>
        </w:rPr>
        <w:t xml:space="preserve">Asset totali: numero record validi</w:t>
      </w:r>
    </w:p>
    <w:p>
      <w:pPr>
        <w:pStyle w:val="ListParagraph"/>
        <w:numPr>
          <w:ilvl w:val="0"/>
          <w:numId w:val="2"/>
        </w:numPr>
        <w:spacing w:after="60" w:before="40"/>
      </w:pPr>
      <w:r>
        <w:rPr>
          <w:rFonts w:ascii="Arial" w:cs="Arial" w:eastAsia="Arial" w:hAnsi="Arial"/>
          <w:color w:val="3D3D3D"/>
          <w:sz w:val="22"/>
          <w:szCs w:val="22"/>
        </w:rPr>
        <w:t xml:space="preserve">Hazard dominante: calcolato dopo lo Step 03</w:t>
      </w:r>
    </w:p>
    <w:p>
      <w:pPr>
        <w:pStyle w:val="ListParagraph"/>
        <w:numPr>
          <w:ilvl w:val="0"/>
          <w:numId w:val="2"/>
        </w:numPr>
        <w:spacing w:after="60" w:before="40"/>
      </w:pPr>
      <w:r>
        <w:rPr>
          <w:rFonts w:ascii="Arial" w:cs="Arial" w:eastAsia="Arial" w:hAnsi="Arial"/>
          <w:color w:val="3D3D3D"/>
          <w:sz w:val="22"/>
          <w:szCs w:val="22"/>
        </w:rPr>
        <w:t xml:space="preserve">Attenzione immediata: numero asset sopra soglia 75</w:t>
      </w:r>
    </w:p>
    <w:p>
      <w:pPr>
        <w:pStyle w:val="ListParagraph"/>
        <w:numPr>
          <w:ilvl w:val="0"/>
          <w:numId w:val="2"/>
        </w:numPr>
        <w:spacing w:after="60" w:before="40"/>
      </w:pPr>
      <w:r>
        <w:rPr>
          <w:rFonts w:ascii="Arial" w:cs="Arial" w:eastAsia="Arial" w:hAnsi="Arial"/>
          <w:color w:val="3D3D3D"/>
          <w:sz w:val="22"/>
          <w:szCs w:val="22"/>
        </w:rPr>
        <w:t xml:space="preserve">Output: Watchlist prioritizzata, raccomandazioni di monitoraggio, export package</w:t>
      </w:r>
    </w:p>
    <w:p>
      <w:r>
        <w:br w:type="page"/>
      </w:r>
    </w:p>
    <w:p>
      <w:pPr>
        <w:pStyle w:val="Heading1"/>
        <w:pBdr>
          <w:bottom w:val="single" w:color="B8860B" w:sz="6" w:space="4"/>
        </w:pBdr>
        <w:spacing w:after="160" w:before="480"/>
      </w:pPr>
      <w:r>
        <w:rPr>
          <w:rFonts w:ascii="Arial" w:cs="Arial" w:eastAsia="Arial" w:hAnsi="Arial"/>
          <w:b/>
          <w:bCs/>
          <w:color w:val="1A1A1A"/>
          <w:sz w:val="36"/>
          <w:szCs w:val="36"/>
        </w:rPr>
        <w:t xml:space="preserve">9. Domande aperte e decisioni da prendere</w:t>
      </w:r>
    </w:p>
    <w:p>
      <w:pPr>
        <w:spacing w:after="0" w:before="0"/>
      </w:pPr>
      <w:r>
        <w:rPr>
          <w:sz w:val="8"/>
          <w:szCs w:val="8"/>
        </w:rPr>
        <w:t xml:space="preserve"/>
      </w:r>
    </w:p>
    <w:p>
      <w:pPr>
        <w:spacing w:after="80" w:before="60"/>
      </w:pPr>
      <w:r>
        <w:rPr>
          <w:rFonts w:ascii="Arial" w:cs="Arial" w:eastAsia="Arial" w:hAnsi="Arial"/>
          <w:color w:val="3D3D3D"/>
          <w:sz w:val="22"/>
          <w:szCs w:val="22"/>
        </w:rPr>
        <w:t xml:space="preserve">Prima di iniziare la programmazione, le seguenti decisioni tecniche vanno prese esplicitamente.</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9.1 Decisioni di prodotto</w:t>
      </w:r>
    </w:p>
    <w:p>
      <w:pPr>
        <w:pStyle w:val="ListParagraph"/>
        <w:numPr>
          <w:ilvl w:val="0"/>
          <w:numId w:val="3"/>
        </w:numPr>
        <w:spacing w:after="60" w:before="40"/>
      </w:pPr>
      <w:r>
        <w:rPr>
          <w:rFonts w:ascii="Arial" w:cs="Arial" w:eastAsia="Arial" w:hAnsi="Arial"/>
          <w:b/>
          <w:bCs/>
          <w:color w:val="1A1A1A"/>
          <w:sz w:val="22"/>
          <w:szCs w:val="22"/>
        </w:rPr>
        <w:t xml:space="preserve">D1 </w:t>
      </w:r>
      <w:r>
        <w:rPr>
          <w:rFonts w:ascii="Arial" w:cs="Arial" w:eastAsia="Arial" w:hAnsi="Arial"/>
          <w:color w:val="3D3D3D"/>
          <w:sz w:val="22"/>
          <w:szCs w:val="22"/>
        </w:rPr>
        <w:t xml:space="preserve">Soglie dell'Asset Priority Score — i valori 75 e 50 per le tre fasce di attenzione sono un punto di partenza. Vanno calibrati sulla distribuzione reale degli score una volta che i primi clienti caricano i loro inventari.</w:t>
      </w:r>
    </w:p>
    <w:p>
      <w:pPr>
        <w:pStyle w:val="ListParagraph"/>
        <w:numPr>
          <w:ilvl w:val="0"/>
          <w:numId w:val="3"/>
        </w:numPr>
        <w:spacing w:after="60" w:before="40"/>
      </w:pPr>
      <w:r>
        <w:rPr>
          <w:rFonts w:ascii="Arial" w:cs="Arial" w:eastAsia="Arial" w:hAnsi="Arial"/>
          <w:b/>
          <w:bCs/>
          <w:color w:val="1A1A1A"/>
          <w:sz w:val="22"/>
          <w:szCs w:val="22"/>
        </w:rPr>
        <w:t xml:space="preserve">D2 </w:t>
      </w:r>
      <w:r>
        <w:rPr>
          <w:rFonts w:ascii="Arial" w:cs="Arial" w:eastAsia="Arial" w:hAnsi="Arial"/>
          <w:color w:val="3D3D3D"/>
          <w:sz w:val="22"/>
          <w:szCs w:val="22"/>
        </w:rPr>
        <w:t xml:space="preserve">Soglie del Proximity Score — le distanze 500m / 2km / 10km vanno verificate sulla distribuzione geografica del database ARCUS. In alcune regioni con alta densità di casi le soglie potrebbero dover essere più strette.</w:t>
      </w:r>
    </w:p>
    <w:p>
      <w:pPr>
        <w:pStyle w:val="ListParagraph"/>
        <w:numPr>
          <w:ilvl w:val="0"/>
          <w:numId w:val="3"/>
        </w:numPr>
        <w:spacing w:after="60" w:before="40"/>
      </w:pPr>
      <w:r>
        <w:rPr>
          <w:rFonts w:ascii="Arial" w:cs="Arial" w:eastAsia="Arial" w:hAnsi="Arial"/>
          <w:b/>
          <w:bCs/>
          <w:color w:val="1A1A1A"/>
          <w:sz w:val="22"/>
          <w:szCs w:val="22"/>
        </w:rPr>
        <w:t xml:space="preserve">D3 </w:t>
      </w:r>
      <w:r>
        <w:rPr>
          <w:rFonts w:ascii="Arial" w:cs="Arial" w:eastAsia="Arial" w:hAnsi="Arial"/>
          <w:color w:val="3D3D3D"/>
          <w:sz w:val="22"/>
          <w:szCs w:val="22"/>
        </w:rPr>
        <w:t xml:space="preserve">Numero massimo di asset per upload nella v1 — definire un limite pratico per il processing (es. 500 asset). Oltre quella soglia il sistema avvisa e suggerisce di dividere in lotti.</w:t>
      </w:r>
    </w:p>
    <w:p>
      <w:pPr>
        <w:pStyle w:val="ListParagraph"/>
        <w:numPr>
          <w:ilvl w:val="0"/>
          <w:numId w:val="3"/>
        </w:numPr>
        <w:spacing w:after="60" w:before="40"/>
      </w:pPr>
      <w:r>
        <w:rPr>
          <w:rFonts w:ascii="Arial" w:cs="Arial" w:eastAsia="Arial" w:hAnsi="Arial"/>
          <w:b/>
          <w:bCs/>
          <w:color w:val="1A1A1A"/>
          <w:sz w:val="22"/>
          <w:szCs w:val="22"/>
        </w:rPr>
        <w:t xml:space="preserve">D4 </w:t>
      </w:r>
      <w:r>
        <w:rPr>
          <w:rFonts w:ascii="Arial" w:cs="Arial" w:eastAsia="Arial" w:hAnsi="Arial"/>
          <w:color w:val="3D3D3D"/>
          <w:sz w:val="22"/>
          <w:szCs w:val="22"/>
        </w:rPr>
        <w:t xml:space="preserve">Gestione dei ponti ferroviari nel file caricato dal cliente — se il cliente carica ponti ferroviari, il sistema li processa con i layer di pericolosità ma segnala che il Proximity Score è meno affidabile per questa tipologia dato il numero limitato di casi ferroviari nel database ARCUS.</w:t>
      </w:r>
    </w:p>
    <w:p>
      <w:pPr>
        <w:spacing w:after="0" w:before="0"/>
      </w:pPr>
      <w:r>
        <w:rPr>
          <w:sz w:val="16"/>
          <w:szCs w:val="16"/>
        </w:rPr>
        <w:t xml:space="preserve"/>
      </w:r>
    </w:p>
    <w:p>
      <w:pPr>
        <w:pStyle w:val="Heading2"/>
        <w:spacing w:after="120" w:before="320"/>
      </w:pPr>
      <w:r>
        <w:rPr>
          <w:rFonts w:ascii="Arial" w:cs="Arial" w:eastAsia="Arial" w:hAnsi="Arial"/>
          <w:b/>
          <w:bCs/>
          <w:color w:val="B8860B"/>
          <w:sz w:val="26"/>
          <w:szCs w:val="26"/>
        </w:rPr>
        <w:t xml:space="preserve">9.2 Decisioni tecniche</w:t>
      </w:r>
    </w:p>
    <w:p>
      <w:pPr>
        <w:pStyle w:val="ListParagraph"/>
        <w:numPr>
          <w:ilvl w:val="0"/>
          <w:numId w:val="3"/>
        </w:numPr>
        <w:spacing w:after="60" w:before="40"/>
      </w:pPr>
      <w:r>
        <w:rPr>
          <w:rFonts w:ascii="Arial" w:cs="Arial" w:eastAsia="Arial" w:hAnsi="Arial"/>
          <w:b/>
          <w:bCs/>
          <w:color w:val="1A1A1A"/>
          <w:sz w:val="22"/>
          <w:szCs w:val="22"/>
        </w:rPr>
        <w:t xml:space="preserve">T1 </w:t>
      </w:r>
      <w:r>
        <w:rPr>
          <w:rFonts w:ascii="Arial" w:cs="Arial" w:eastAsia="Arial" w:hAnsi="Arial"/>
          <w:color w:val="3D3D3D"/>
          <w:sz w:val="22"/>
          <w:szCs w:val="22"/>
        </w:rPr>
        <w:t xml:space="preserve">Servizio di reverse geocoding — quale API usare per il double check coordinate/comune. Opzioni: Nominatim OpenStreetMap (gratuito, meno preciso su confini comunali), Google Maps Geocoding API (preciso, a pagamento), GeoNames (gratuito con limiti).</w:t>
      </w:r>
    </w:p>
    <w:p>
      <w:pPr>
        <w:pStyle w:val="ListParagraph"/>
        <w:numPr>
          <w:ilvl w:val="0"/>
          <w:numId w:val="3"/>
        </w:numPr>
        <w:spacing w:after="60" w:before="40"/>
      </w:pPr>
      <w:r>
        <w:rPr>
          <w:rFonts w:ascii="Arial" w:cs="Arial" w:eastAsia="Arial" w:hAnsi="Arial"/>
          <w:b/>
          <w:bCs/>
          <w:color w:val="1A1A1A"/>
          <w:sz w:val="22"/>
          <w:szCs w:val="22"/>
        </w:rPr>
        <w:t xml:space="preserve">T2 </w:t>
      </w:r>
      <w:r>
        <w:rPr>
          <w:rFonts w:ascii="Arial" w:cs="Arial" w:eastAsia="Arial" w:hAnsi="Arial"/>
          <w:color w:val="3D3D3D"/>
          <w:sz w:val="22"/>
          <w:szCs w:val="22"/>
        </w:rPr>
        <w:t xml:space="preserve">Calcolo dell'esposizione WMS per punto — il sistema deve fare una query WMS per ogni coppia di coordinate. Con 500 asset sono 500 query per layer, potenzialmente 1500 query totali. Definire strategia di caching e rate limiting.</w:t>
      </w:r>
    </w:p>
    <w:p>
      <w:pPr>
        <w:pStyle w:val="ListParagraph"/>
        <w:numPr>
          <w:ilvl w:val="0"/>
          <w:numId w:val="3"/>
        </w:numPr>
        <w:spacing w:after="60" w:before="40"/>
      </w:pPr>
      <w:r>
        <w:rPr>
          <w:rFonts w:ascii="Arial" w:cs="Arial" w:eastAsia="Arial" w:hAnsi="Arial"/>
          <w:b/>
          <w:bCs/>
          <w:color w:val="1A1A1A"/>
          <w:sz w:val="22"/>
          <w:szCs w:val="22"/>
        </w:rPr>
        <w:t xml:space="preserve">T3 </w:t>
      </w:r>
      <w:r>
        <w:rPr>
          <w:rFonts w:ascii="Arial" w:cs="Arial" w:eastAsia="Arial" w:hAnsi="Arial"/>
          <w:color w:val="3D3D3D"/>
          <w:sz w:val="22"/>
          <w:szCs w:val="22"/>
        </w:rPr>
        <w:t xml:space="preserve">Formato di output del GeoJSON — definire schema degli attributi: quali campi del file input vengono propagati nel GeoJSON di output e quali sono calcolati da ARCUS.</w:t>
      </w:r>
    </w:p>
    <w:p>
      <w:pPr>
        <w:pStyle w:val="ListParagraph"/>
        <w:numPr>
          <w:ilvl w:val="0"/>
          <w:numId w:val="3"/>
        </w:numPr>
        <w:spacing w:after="60" w:before="40"/>
      </w:pPr>
      <w:r>
        <w:rPr>
          <w:rFonts w:ascii="Arial" w:cs="Arial" w:eastAsia="Arial" w:hAnsi="Arial"/>
          <w:b/>
          <w:bCs/>
          <w:color w:val="1A1A1A"/>
          <w:sz w:val="22"/>
          <w:szCs w:val="22"/>
        </w:rPr>
        <w:t xml:space="preserve">T4 </w:t>
      </w:r>
      <w:r>
        <w:rPr>
          <w:rFonts w:ascii="Arial" w:cs="Arial" w:eastAsia="Arial" w:hAnsi="Arial"/>
          <w:color w:val="3D3D3D"/>
          <w:sz w:val="22"/>
          <w:szCs w:val="22"/>
        </w:rPr>
        <w:t xml:space="preserve">Confronto tra sessioni successive — quando il cliente ricarica il file, il sistema deve identificare i ponti già presenti tramite bridge_id e calcolare la variazione di score rispetto alla sessione precedente. Definire la logica di persistenza delle sessioni.</w:t>
      </w:r>
    </w:p>
    <w:p>
      <w:pPr>
        <w:spacing w:after="0" w:before="0"/>
      </w:pPr>
      <w:r>
        <w:rPr>
          <w:sz w:val="24"/>
          <w:szCs w:val="24"/>
        </w:rPr>
        <w:t xml:space="preserve"/>
      </w:r>
    </w:p>
    <w:p>
      <w:pPr>
        <w:pBdr>
          <w:top w:val="single" w:color="D8D2C8" w:sz="2" w:space="1"/>
        </w:pBdr>
        <w:spacing w:after="80" w:before="80"/>
      </w:pPr>
      <w:r>
        <w:rPr>
          <w:sz w:val="4"/>
          <w:szCs w:val="4"/>
        </w:rPr>
        <w:t xml:space="preserve"/>
      </w:r>
    </w:p>
    <w:p>
      <w:pPr>
        <w:spacing w:after="0" w:before="0"/>
      </w:pPr>
      <w:r>
        <w:rPr>
          <w:sz w:val="8"/>
          <w:szCs w:val="8"/>
        </w:rPr>
        <w:t xml:space="preserve"/>
      </w:r>
    </w:p>
    <w:p>
      <w:pPr>
        <w:spacing w:after="60" w:before="40"/>
      </w:pPr>
      <w:r>
        <w:rPr>
          <w:rFonts w:ascii="Arial" w:cs="Arial" w:eastAsia="Arial" w:hAnsi="Arial"/>
          <w:i/>
          <w:iCs/>
          <w:color w:val="555555"/>
          <w:sz w:val="20"/>
          <w:szCs w:val="20"/>
        </w:rPr>
        <w:t xml:space="preserve">ARCUS Professional — Path 02 / Existing Assets — Documento di specifica v1.0 — 11/06/2026</w:t>
      </w:r>
    </w:p>
    <w:p>
      <w:pPr>
        <w:spacing w:after="60" w:before="40"/>
      </w:pPr>
      <w:r>
        <w:rPr>
          <w:rFonts w:ascii="Arial" w:cs="Arial" w:eastAsia="Arial" w:hAnsi="Arial"/>
          <w:i/>
          <w:iCs/>
          <w:color w:val="555555"/>
          <w:sz w:val="20"/>
          <w:szCs w:val="20"/>
        </w:rPr>
        <w:t xml:space="preserve">Documento di lavoro interno per la programmazione. Non destinato alla distribuzione esterna.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2026-06-11T08:50:07.438Z</dcterms:created>
  <dcterms:modified xsi:type="dcterms:W3CDTF">2026-06-11T08:50:07.451Z</dcterms:modified>
</cp:coreProperties>
</file>

<file path=docProps/custom.xml><?xml version="1.0" encoding="utf-8"?>
<Properties xmlns="http://schemas.openxmlformats.org/officeDocument/2006/custom-properties" xmlns:vt="http://schemas.openxmlformats.org/officeDocument/2006/docPropsVTypes"/>
</file>