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49040"/>
          <w:sz w:val="18"/>
        </w:rPr>
        <w:t>ARCUS PATH 01 - TERRITORY BRIEFING</w:t>
      </w:r>
    </w:p>
    <w:p>
      <w:pPr>
        <w:pStyle w:val="Heading1"/>
        <w:jc w:val="center"/>
      </w:pPr>
      <w:r>
        <w:t>Final Review: Content vs Visual Output</w:t>
      </w:r>
    </w:p>
    <w:p>
      <w:pPr>
        <w:jc w:val="center"/>
      </w:pPr>
      <w:r>
        <w:rPr>
          <w:i/>
        </w:rPr>
        <w:t>Review of the updated Path 01 export for Torino and recommendations for the next implementation phase.</w:t>
      </w:r>
    </w:p>
    <w:p>
      <w:pPr>
        <w:pStyle w:val="Heading2"/>
      </w:pPr>
      <w:r>
        <w:t>1. Executive Verdict</w:t>
      </w:r>
    </w:p>
    <w:p>
      <w:r>
        <w:t>The current version is now solid from a content perspective. The report already includes the essential components expected from a professional preliminary territory briefing: executive summary, selected area, key indicators, hazard context, historical evidence, priority events, comparable precedents, decision use, recommendations, national benchmark, limitations, methodology, legend and source appendix.</w:t>
      </w:r>
    </w:p>
    <w:p>
      <w:r>
        <w:t>The next improvement should focus primarily on visual output, hierarchy and readability rather than adding many new sections. The report has enough content; the main risk now is density. A client should be able to understand the result in 60 seconds, then inspect the evidence in detail if needed.</w:t>
      </w:r>
    </w:p>
    <w:p>
      <w:pPr>
        <w:pStyle w:val="Heading2"/>
      </w:pPr>
      <w:r>
        <w:t>2. Current Status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C49040"/>
          </w:tcPr>
          <w:p>
            <w:pPr>
              <w:spacing w:after="0"/>
            </w:pPr>
            <w:r/>
            <w:r>
              <w:rPr>
                <w:b/>
                <w:color w:val="15110F"/>
              </w:rPr>
              <w:t>Area</w:t>
            </w:r>
          </w:p>
        </w:tc>
        <w:tc>
          <w:tcPr>
            <w:tcW w:type="dxa" w:w="2592"/>
            <w:shd w:fill="C49040"/>
          </w:tcPr>
          <w:p>
            <w:pPr>
              <w:spacing w:after="0"/>
            </w:pPr>
            <w:r/>
            <w:r>
              <w:rPr>
                <w:b/>
                <w:color w:val="15110F"/>
              </w:rPr>
              <w:t>Current status</w:t>
            </w:r>
          </w:p>
        </w:tc>
        <w:tc>
          <w:tcPr>
            <w:tcW w:type="dxa" w:w="2592"/>
            <w:shd w:fill="C49040"/>
          </w:tcPr>
          <w:p>
            <w:pPr>
              <w:spacing w:after="0"/>
            </w:pPr>
            <w:r/>
            <w:r>
              <w:rPr>
                <w:b/>
                <w:color w:val="15110F"/>
              </w:rPr>
              <w:t>Priority</w:t>
            </w:r>
          </w:p>
        </w:tc>
        <w:tc>
          <w:tcPr>
            <w:tcW w:type="dxa" w:w="2592"/>
            <w:shd w:fill="C49040"/>
          </w:tcPr>
          <w:p>
            <w:pPr>
              <w:spacing w:after="0"/>
            </w:pPr>
            <w:r/>
            <w:r>
              <w:rPr>
                <w:b/>
                <w:color w:val="15110F"/>
              </w:rPr>
              <w:t>Recommendation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Content completeness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Strong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 not add many new content blocks now.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Technical clarity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Good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Refine wording and add compact interpretations after key tables.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Professional credibility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Strong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Disclaimer, limitations and source appendix are now effective.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Visual hierarchy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Needs improvement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Reorder sections and create clearer page blocks.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Readability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Reduce table density in the main body and move long evidence to appendix.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Executive usability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 a first-page decision box and a compact key findings panel.</w:t>
            </w:r>
          </w:p>
        </w:tc>
      </w:tr>
    </w:tbl>
    <w:p>
      <w:pPr>
        <w:pStyle w:val="Heading2"/>
      </w:pPr>
      <w:r>
        <w:t>3. What Is Already Working Well</w:t>
      </w:r>
    </w:p>
    <w:p>
      <w:pPr>
        <w:pStyle w:val="ListBullet"/>
      </w:pPr>
      <w:r>
        <w:t>The report is coherent: Hydraulic is identified as the dominant driver, and Historical Evidence correctly reports 41 hydraulic events out of 42 analysed records.</w:t>
      </w:r>
    </w:p>
    <w:p>
      <w:pPr>
        <w:pStyle w:val="ListBullet"/>
      </w:pPr>
      <w:r>
        <w:t>The KPI cards are more mature because each one includes class and driver, not only a numerical value.</w:t>
      </w:r>
    </w:p>
    <w:p>
      <w:pPr>
        <w:pStyle w:val="ListBullet"/>
      </w:pPr>
      <w:r>
        <w:t>Failure precedent exposure is safer and clearer than Structural vulnerability exposure.</w:t>
      </w:r>
    </w:p>
    <w:p>
      <w:pPr>
        <w:pStyle w:val="ListBullet"/>
      </w:pPr>
      <w:r>
        <w:t>The Why flagged column in Priority Events makes the ranking explainable.</w:t>
      </w:r>
    </w:p>
    <w:p>
      <w:pPr>
        <w:pStyle w:val="ListBullet"/>
      </w:pPr>
      <w:r>
        <w:t>Comparable Precedents no longer all score 100/100, which makes the similarity logic more credible.</w:t>
      </w:r>
    </w:p>
    <w:p>
      <w:pPr>
        <w:pStyle w:val="ListBullet"/>
      </w:pPr>
      <w:r>
        <w:t>Decision Use, Data Coverage &amp; Limitations and Source Appendix significantly increase professional trust.</w:t>
      </w:r>
    </w:p>
    <w:p>
      <w:pPr>
        <w:pStyle w:val="Heading2"/>
      </w:pPr>
      <w:r>
        <w:t>4. Remaining Content Improvements</w:t>
      </w:r>
    </w:p>
    <w:p>
      <w:pPr>
        <w:pStyle w:val="ListBullet"/>
      </w:pPr>
      <w:r>
        <w:rPr>
          <w:b/>
        </w:rPr>
        <w:t xml:space="preserve">Refine the Executive Summary copy: </w:t>
      </w:r>
      <w:r>
        <w:t>The current content is correct, but the phrase “driven by Hydraulic, the hydraulic context...” should become more elegant and less repetitive.</w:t>
      </w:r>
    </w:p>
    <w:p>
      <w:pPr>
        <w:pStyle w:val="ListBullet"/>
      </w:pPr>
      <w:r>
        <w:rPr>
          <w:b/>
        </w:rPr>
        <w:t xml:space="preserve">Add a one-line decision outcome: </w:t>
      </w:r>
      <w:r>
        <w:t>Immediately after the executive summary, add a boxed statement such as: “Recommended use: preliminary hydraulic-context screening before site-specific design or investigation.”</w:t>
      </w:r>
    </w:p>
    <w:p>
      <w:pPr>
        <w:pStyle w:val="ListBullet"/>
      </w:pPr>
      <w:r>
        <w:rPr>
          <w:b/>
        </w:rPr>
        <w:t xml:space="preserve">Add a Top 3 implications block: </w:t>
      </w:r>
      <w:r>
        <w:t>Make the first page decision-oriented: hydraulic context dominates; triggered collapse pattern is above the national baseline; evidence reliability is very high.</w:t>
      </w:r>
    </w:p>
    <w:p>
      <w:pPr>
        <w:pStyle w:val="ListBullet"/>
      </w:pPr>
      <w:r>
        <w:rPr>
          <w:b/>
        </w:rPr>
        <w:t xml:space="preserve">Clarify the meaning of Priority Index: </w:t>
      </w:r>
      <w:r>
        <w:t>Keep the number, but explicitly state that it is a prioritisation indicator, not a risk certification.</w:t>
      </w:r>
    </w:p>
    <w:p>
      <w:pPr>
        <w:pStyle w:val="ListBullet"/>
      </w:pPr>
      <w:r>
        <w:rPr>
          <w:b/>
        </w:rPr>
        <w:t xml:space="preserve">Add a map placeholder or exported map: </w:t>
      </w:r>
      <w:r>
        <w:t>A Territory Briefing needs at least one visual territorial reference map with selected area boundary, collapse points and active hazard context.</w:t>
      </w:r>
    </w:p>
    <w:p>
      <w:pPr>
        <w:pStyle w:val="ListBullet"/>
      </w:pPr>
      <w:r>
        <w:rPr>
          <w:b/>
        </w:rPr>
        <w:t xml:space="preserve">Make benchmark interpretation more specific: </w:t>
      </w:r>
      <w:r>
        <w:t>The benchmark note is good, but it should explicitly explain the operational meaning of above-average triggered-event share.</w:t>
      </w:r>
    </w:p>
    <w:p>
      <w:pPr>
        <w:pStyle w:val="Heading2"/>
      </w:pPr>
      <w:r>
        <w:t>5. Main Recommendation: Improve Visual Output and Ordering</w:t>
      </w:r>
    </w:p>
    <w:p>
      <w:r>
        <w:t>At this stage, the biggest upgrade should be visual and structural. The content is sufficiently complete; the report should now become easier to scan, more executive, and more polished as a PDF-style deliverable.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C49040"/>
          </w:tcPr>
          <w:p>
            <w:pPr>
              <w:spacing w:after="0"/>
            </w:pPr>
            <w:r/>
            <w:r>
              <w:rPr>
                <w:b/>
                <w:color w:val="15110F"/>
              </w:rPr>
              <w:t>Issue</w:t>
            </w:r>
          </w:p>
        </w:tc>
        <w:tc>
          <w:tcPr>
            <w:tcW w:type="dxa" w:w="3456"/>
            <w:shd w:fill="C49040"/>
          </w:tcPr>
          <w:p>
            <w:pPr>
              <w:spacing w:after="0"/>
            </w:pPr>
            <w:r/>
            <w:r>
              <w:rPr>
                <w:b/>
                <w:color w:val="15110F"/>
              </w:rPr>
              <w:t>Why it matters</w:t>
            </w:r>
          </w:p>
        </w:tc>
        <w:tc>
          <w:tcPr>
            <w:tcW w:type="dxa" w:w="3456"/>
            <w:shd w:fill="C49040"/>
          </w:tcPr>
          <w:p>
            <w:pPr>
              <w:spacing w:after="0"/>
            </w:pPr>
            <w:r/>
            <w:r>
              <w:rPr>
                <w:b/>
                <w:color w:val="15110F"/>
              </w:rPr>
              <w:t>Recommended implementation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Too many large tables in sequence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The report can feel dense and appendix-like too early.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Keep short tables in the main body; move long lists to appendix.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No visual map yet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 territory briefing without a map feels incomplete.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Add one exported map after Selected Area &amp; Project Context.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KPI block is useful but visually heavy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Four cards with long text can be hard to scan.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Use compact KPI cards with value, class and one-line driver.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Priority Events table is long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Twelve rows in the main body slow down reading.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Show top 5 in the main body; full list in appendix or CSV.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Source Appendix is very long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Useful for credibility, but it dominates the end of the report.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Deduplicate and show main sources; export full table separately.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All sections have similar visual weight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Important and secondary sections feel equal.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Use section numbering and different block styles for executive vs appendix content.</w:t>
            </w:r>
          </w:p>
        </w:tc>
      </w:tr>
    </w:tbl>
    <w:p>
      <w:pPr>
        <w:pStyle w:val="Heading2"/>
      </w:pPr>
      <w:r>
        <w:t>6. Recommended Final Report Order</w:t>
      </w:r>
    </w:p>
    <w:p>
      <w:pPr>
        <w:pStyle w:val="ListNumber"/>
      </w:pPr>
      <w:r>
        <w:rPr>
          <w:b/>
        </w:rPr>
        <w:t xml:space="preserve">Cover: </w:t>
      </w:r>
      <w:r>
        <w:t>Brand, path, territory, generated date.</w:t>
      </w:r>
    </w:p>
    <w:p>
      <w:pPr>
        <w:pStyle w:val="ListNumber"/>
      </w:pPr>
      <w:r>
        <w:rPr>
          <w:b/>
        </w:rPr>
        <w:t xml:space="preserve">01 / Executive Summary: </w:t>
      </w:r>
      <w:r>
        <w:t>One paragraph, Top 3 findings and decision outcome.</w:t>
      </w:r>
    </w:p>
    <w:p>
      <w:pPr>
        <w:pStyle w:val="ListNumber"/>
      </w:pPr>
      <w:r>
        <w:rPr>
          <w:b/>
        </w:rPr>
        <w:t xml:space="preserve">02 / Selected Area &amp; Map: </w:t>
      </w:r>
      <w:r>
        <w:t>Selection type, project context and exported map.</w:t>
      </w:r>
    </w:p>
    <w:p>
      <w:pPr>
        <w:pStyle w:val="ListNumber"/>
      </w:pPr>
      <w:r>
        <w:rPr>
          <w:b/>
        </w:rPr>
        <w:t xml:space="preserve">03 / Key Indicators: </w:t>
      </w:r>
      <w:r>
        <w:t>Four compact KPI cards with value, class and driver.</w:t>
      </w:r>
    </w:p>
    <w:p>
      <w:pPr>
        <w:pStyle w:val="ListNumber"/>
      </w:pPr>
      <w:r>
        <w:rPr>
          <w:b/>
        </w:rPr>
        <w:t xml:space="preserve">04 / Hazard Context: </w:t>
      </w:r>
      <w:r>
        <w:t>Short table and interpretive note.</w:t>
      </w:r>
    </w:p>
    <w:p>
      <w:pPr>
        <w:pStyle w:val="ListNumber"/>
      </w:pPr>
      <w:r>
        <w:rPr>
          <w:b/>
        </w:rPr>
        <w:t xml:space="preserve">05 / Historical Evidence: </w:t>
      </w:r>
      <w:r>
        <w:t>Cause distribution, severity and trigger summary.</w:t>
      </w:r>
    </w:p>
    <w:p>
      <w:pPr>
        <w:pStyle w:val="ListNumber"/>
      </w:pPr>
      <w:r>
        <w:rPr>
          <w:b/>
        </w:rPr>
        <w:t xml:space="preserve">06 / Priority Events: </w:t>
      </w:r>
      <w:r>
        <w:t>Top 5 events only, with Why flagged.</w:t>
      </w:r>
    </w:p>
    <w:p>
      <w:pPr>
        <w:pStyle w:val="ListNumber"/>
      </w:pPr>
      <w:r>
        <w:rPr>
          <w:b/>
        </w:rPr>
        <w:t xml:space="preserve">07 / Comparable Precedents: </w:t>
      </w:r>
      <w:r>
        <w:t>Top 5 analogues with decomposed similarity.</w:t>
      </w:r>
    </w:p>
    <w:p>
      <w:pPr>
        <w:pStyle w:val="ListNumber"/>
      </w:pPr>
      <w:r>
        <w:rPr>
          <w:b/>
        </w:rPr>
        <w:t xml:space="preserve">08 / Interpretation &amp; Decision Use: </w:t>
      </w:r>
      <w:r>
        <w:t>What the result means and what it cannot be used for.</w:t>
      </w:r>
    </w:p>
    <w:p>
      <w:pPr>
        <w:pStyle w:val="ListNumber"/>
      </w:pPr>
      <w:r>
        <w:rPr>
          <w:b/>
        </w:rPr>
        <w:t xml:space="preserve">09 / Recommendations: </w:t>
      </w:r>
      <w:r>
        <w:t>3-4 territory-specific follow-up actions.</w:t>
      </w:r>
    </w:p>
    <w:p>
      <w:pPr>
        <w:pStyle w:val="ListNumber"/>
      </w:pPr>
      <w:r>
        <w:rPr>
          <w:b/>
        </w:rPr>
        <w:t xml:space="preserve">10 / National Benchmark: </w:t>
      </w:r>
      <w:r>
        <w:t>Table plus generated interpretation.</w:t>
      </w:r>
    </w:p>
    <w:p>
      <w:pPr>
        <w:pStyle w:val="ListNumber"/>
      </w:pPr>
      <w:r>
        <w:rPr>
          <w:b/>
        </w:rPr>
        <w:t xml:space="preserve">11 / Data Coverage &amp; Limitations: </w:t>
      </w:r>
      <w:r>
        <w:t>Resolution, hazard layers, missing data and use boundaries.</w:t>
      </w:r>
    </w:p>
    <w:p>
      <w:pPr>
        <w:pStyle w:val="ListNumber"/>
      </w:pPr>
      <w:r>
        <w:rPr>
          <w:b/>
        </w:rPr>
        <w:t xml:space="preserve">12 / Methodology &amp; Legend: </w:t>
      </w:r>
      <w:r>
        <w:t>Scoring logic and class definitions.</w:t>
      </w:r>
    </w:p>
    <w:p>
      <w:pPr>
        <w:pStyle w:val="ListNumber"/>
      </w:pPr>
      <w:r>
        <w:rPr>
          <w:b/>
        </w:rPr>
        <w:t xml:space="preserve">Appendix A / Sources: </w:t>
      </w:r>
      <w:r>
        <w:t>Deduplicated source list; full source table exported separately.</w:t>
      </w:r>
    </w:p>
    <w:p>
      <w:pPr>
        <w:pStyle w:val="Heading2"/>
      </w:pPr>
      <w:r>
        <w:t>7. Suggested Text Replacements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C49040"/>
          </w:tcPr>
          <w:p>
            <w:pPr>
              <w:spacing w:after="0"/>
            </w:pPr>
            <w:r/>
            <w:r>
              <w:rPr>
                <w:b/>
                <w:color w:val="15110F"/>
              </w:rPr>
              <w:t>Area</w:t>
            </w:r>
          </w:p>
        </w:tc>
        <w:tc>
          <w:tcPr>
            <w:tcW w:type="dxa" w:w="5184"/>
            <w:shd w:fill="C49040"/>
          </w:tcPr>
          <w:p>
            <w:pPr>
              <w:spacing w:after="0"/>
            </w:pPr>
            <w:r/>
            <w:r>
              <w:rPr>
                <w:b/>
                <w:color w:val="15110F"/>
              </w:rPr>
              <w:t>Suggested replacement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Executive Summary opening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The selected area shows a high infrastructure attention level for new bridge interventions and territorial planning. The signal is mainly driven by a strong concentration of hydraulic-related historical collapse precedents documented in the ARCUS database.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Priority Index driver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Driven by hydraulic precedent density, triggered-event concentration, total-collapse share and high source reliability.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Interpretation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For new bridge interventions in Torino, ARCUS identifies a strong hydraulic precedent pattern. This does not indicate direct structural criticality, but it supports early-stage prioritisation of hydraulic, geotechnical and site-specific checks.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Benchmark note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Compared with the national ARCUS baseline, Torino shows a stronger event-driven pattern and higher source reliability. This makes the area suitable for preliminary evidence-based screening, especially for hydraulic-context evaluations.</w:t>
            </w:r>
          </w:p>
        </w:tc>
      </w:tr>
    </w:tbl>
    <w:p>
      <w:pPr>
        <w:pStyle w:val="Heading2"/>
      </w:pPr>
      <w:r>
        <w:t>8. Practical Implementation Notes for HTML/PDF Output</w:t>
      </w:r>
    </w:p>
    <w:p>
      <w:pPr>
        <w:pStyle w:val="ListBullet"/>
      </w:pPr>
      <w:r>
        <w:t>Add explicit page-break sections: cover, executive summary, evidence body and appendix.</w:t>
      </w:r>
    </w:p>
    <w:p>
      <w:pPr>
        <w:pStyle w:val="ListBullet"/>
      </w:pPr>
      <w:r>
        <w:t>Use a report-section-number class to number each section visually.</w:t>
      </w:r>
    </w:p>
    <w:p>
      <w:pPr>
        <w:pStyle w:val="ListBullet"/>
      </w:pPr>
      <w:r>
        <w:t>Create a decision-box class for the one-line decision outcome after the executive summary.</w:t>
      </w:r>
    </w:p>
    <w:p>
      <w:pPr>
        <w:pStyle w:val="ListBullet"/>
      </w:pPr>
      <w:r>
        <w:t>Create kpi-class and kpi-driver spans inside each KPI card to reduce text density.</w:t>
      </w:r>
    </w:p>
    <w:p>
      <w:pPr>
        <w:pStyle w:val="ListBullet"/>
      </w:pPr>
      <w:r>
        <w:t>Create a map-frame block and export a PNG map from the platform into the report.</w:t>
      </w:r>
    </w:p>
    <w:p>
      <w:pPr>
        <w:pStyle w:val="ListBullet"/>
      </w:pPr>
      <w:r>
        <w:t>For Priority Events, render only the top 5 in the main report and add “Full event table available in exported CSV/appendix”.</w:t>
      </w:r>
    </w:p>
    <w:p>
      <w:pPr>
        <w:pStyle w:val="ListBullet"/>
      </w:pPr>
      <w:r>
        <w:t>For Source Appendix, deduplicate by URL/title and limit the PDF body to main sources; export the full source table separately.</w:t>
      </w:r>
    </w:p>
    <w:p>
      <w:pPr>
        <w:pStyle w:val="ListBullet"/>
      </w:pPr>
      <w:r>
        <w:t>Avoid very long URLs in PDF tables; use shortened display text while preserving clickable href.</w:t>
      </w:r>
    </w:p>
    <w:p>
      <w:pPr>
        <w:pStyle w:val="Heading2"/>
      </w:pPr>
      <w:r>
        <w:t>9. Final Recommendation</w:t>
      </w:r>
    </w:p>
    <w:p>
      <w:r>
        <w:rPr>
          <w:b/>
        </w:rPr>
      </w:r>
      <w:r/>
      <w:r>
        <w:rPr>
          <w:b/>
        </w:rPr>
        <w:t xml:space="preserve">Do not significantly expand the content now. </w:t>
      </w:r>
      <w:r>
        <w:t>Focus on visual hierarchy, PDF readability, section ordering, map integration and separation between executive content and appendices.</w:t>
      </w:r>
    </w:p>
    <w:sectPr w:rsidR="00FC693F" w:rsidRPr="0006063C" w:rsidSect="00034616">
      <w:footerReference w:type="default" r:id="rId9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ARCUS Professional - Path 01 output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C17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7A654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C17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