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040"/>
          <w:sz w:val="26"/>
        </w:rPr>
        <w:t>ARCUS PROFESSIONAL</w:t>
      </w:r>
    </w:p>
    <w:p>
      <w:pPr>
        <w:jc w:val="center"/>
      </w:pPr>
      <w:r>
        <w:rPr>
          <w:b/>
          <w:sz w:val="52"/>
        </w:rPr>
        <w:t>Path 01 Report Strategy</w:t>
      </w:r>
    </w:p>
    <w:p>
      <w:pPr>
        <w:jc w:val="center"/>
      </w:pPr>
      <w:r>
        <w:rPr>
          <w:color w:val="5B4E41"/>
          <w:sz w:val="24"/>
        </w:rPr>
        <w:t>Province-only workflow, PDF export and final layout recommendations</w:t>
      </w:r>
    </w:p>
    <w:p>
      <w:pPr>
        <w:jc w:val="center"/>
      </w:pPr>
      <w:r>
        <w:rPr>
          <w:i/>
          <w:sz w:val="20"/>
        </w:rPr>
        <w:t>Based on the current PDF output: “ARCUS - Territory Briefing: Torino”</w:t>
      </w:r>
    </w:p>
    <w:p>
      <w:pPr>
        <w:pStyle w:val="Heading1"/>
      </w:pPr>
      <w:r>
        <w:t>1. Strategic Decision: Keep Path 01 Province-Based</w:t>
      </w:r>
    </w:p>
    <w:p>
      <w:r>
        <w:t>The simplest and most robust choice is to remove the user-drawn area workflow from Path 01 and keep the Path 01 report based only on province selection. This is a good product decision at this stage because it reduces ambiguity, avoids inconsistent metadata, simplifies filtering logic and makes the PDF output easier to validate.</w:t>
      </w:r>
    </w:p>
    <w:p>
      <w:pPr>
        <w:spacing w:before="120" w:after="120"/>
        <w:ind w:left="216"/>
      </w:pPr>
      <w:r>
        <w:rPr>
          <w:i/>
          <w:color w:val="5B4E41"/>
          <w:sz w:val="20"/>
        </w:rPr>
        <w:t>Recommendation: Path 01 / New Territory should become a province-based territorial screening workflow. Custom geometries can be reintroduced later as a separate advanced workflow or Enterprise feature.</w:t>
      </w:r>
    </w:p>
    <w:p>
      <w:pPr>
        <w:pStyle w:val="Heading1"/>
      </w:pPr>
      <w:r>
        <w:t>2. Why Removing the Custom Area Option Makes Sense</w:t>
      </w:r>
    </w:p>
    <w:p>
      <w:pPr>
        <w:pStyle w:val="ListBullet"/>
      </w:pPr>
      <w:r>
        <w:t>It eliminates confusion between “Province level” and “Custom geometry”.</w:t>
      </w:r>
    </w:p>
    <w:p>
      <w:pPr>
        <w:pStyle w:val="ListBullet"/>
      </w:pPr>
      <w:r>
        <w:t>It makes the cover metadata, selected area table, filtering logic and limitations consistent.</w:t>
      </w:r>
    </w:p>
    <w:p>
      <w:pPr>
        <w:pStyle w:val="ListBullet"/>
      </w:pPr>
      <w:r>
        <w:t>It avoids ambiguous reports when a polygon intersects multiple provinces or partial administrative units.</w:t>
      </w:r>
    </w:p>
    <w:p>
      <w:pPr>
        <w:pStyle w:val="ListBullet"/>
      </w:pPr>
      <w:r>
        <w:t>It allows the report to be benchmarked more cleanly against national and provincial ARCUS baselines.</w:t>
      </w:r>
    </w:p>
    <w:p>
      <w:pPr>
        <w:pStyle w:val="ListBullet"/>
      </w:pPr>
      <w:r>
        <w:t>It reduces development complexity while the Professional platform is still being validated.</w:t>
      </w:r>
    </w:p>
    <w:p>
      <w:pPr>
        <w:pStyle w:val="ListBullet"/>
      </w:pPr>
      <w:r>
        <w:t>It makes the report easier for professional clients to understand and trust.</w:t>
      </w:r>
    </w:p>
    <w:p>
      <w:pPr>
        <w:pStyle w:val="Heading1"/>
      </w:pPr>
      <w:r>
        <w:t>3. New Definition of Path 01 / New Territory</w:t>
      </w:r>
    </w:p>
    <w:tbl>
      <w:tblPr>
        <w:tblW w:type="auto" w:w="0"/>
        <w:jc w:val="center"/>
        <w:tblLook w:firstColumn="1" w:firstRow="1" w:lastColumn="0" w:lastRow="0" w:noHBand="0" w:noVBand="1" w:val="04A0"/>
      </w:tblPr>
      <w:tblGrid>
        <w:gridCol w:w="5112"/>
        <w:gridCol w:w="5112"/>
      </w:tblGrid>
      <w:tr>
        <w:tc>
          <w:tcPr>
            <w:tcW w:type="dxa" w:w="5112"/>
            <w:vAlign w:val="center"/>
            <w:shd w:fill="C49040"/>
          </w:tcPr>
          <w:p>
            <w:r/>
            <w:r>
              <w:rPr>
                <w:b/>
                <w:sz w:val="18"/>
              </w:rPr>
              <w:t>Element</w:t>
            </w:r>
          </w:p>
        </w:tc>
        <w:tc>
          <w:tcPr>
            <w:tcW w:type="dxa" w:w="5112"/>
            <w:vAlign w:val="center"/>
            <w:shd w:fill="C49040"/>
          </w:tcPr>
          <w:p>
            <w:r/>
            <w:r>
              <w:rPr>
                <w:b/>
                <w:sz w:val="18"/>
              </w:rPr>
              <w:t>Recommended Definition</w:t>
            </w:r>
          </w:p>
        </w:tc>
      </w:tr>
      <w:tr>
        <w:tc>
          <w:tcPr>
            <w:tcW w:type="dxa" w:w="5112"/>
            <w:vAlign w:val="center"/>
          </w:tcPr>
          <w:p>
            <w:r/>
            <w:r>
              <w:rPr>
                <w:b/>
                <w:sz w:val="18"/>
              </w:rPr>
              <w:t>Path name</w:t>
            </w:r>
          </w:p>
        </w:tc>
        <w:tc>
          <w:tcPr>
            <w:tcW w:type="dxa" w:w="5112"/>
            <w:vAlign w:val="center"/>
          </w:tcPr>
          <w:p>
            <w:r/>
            <w:r>
              <w:rPr>
                <w:b w:val="0"/>
                <w:sz w:val="18"/>
              </w:rPr>
              <w:t>01 / New Territory</w:t>
            </w:r>
          </w:p>
        </w:tc>
      </w:tr>
      <w:tr>
        <w:tc>
          <w:tcPr>
            <w:tcW w:type="dxa" w:w="5112"/>
            <w:vAlign w:val="center"/>
          </w:tcPr>
          <w:p>
            <w:r/>
            <w:r>
              <w:rPr>
                <w:b/>
                <w:sz w:val="18"/>
              </w:rPr>
              <w:t>Entry mode</w:t>
            </w:r>
          </w:p>
        </w:tc>
        <w:tc>
          <w:tcPr>
            <w:tcW w:type="dxa" w:w="5112"/>
            <w:vAlign w:val="center"/>
          </w:tcPr>
          <w:p>
            <w:r/>
            <w:r>
              <w:rPr>
                <w:b w:val="0"/>
                <w:sz w:val="18"/>
              </w:rPr>
              <w:t>Province selection only</w:t>
            </w:r>
          </w:p>
        </w:tc>
      </w:tr>
      <w:tr>
        <w:tc>
          <w:tcPr>
            <w:tcW w:type="dxa" w:w="5112"/>
            <w:vAlign w:val="center"/>
          </w:tcPr>
          <w:p>
            <w:r/>
            <w:r>
              <w:rPr>
                <w:b/>
                <w:sz w:val="18"/>
              </w:rPr>
              <w:t>Primary use</w:t>
            </w:r>
          </w:p>
        </w:tc>
        <w:tc>
          <w:tcPr>
            <w:tcW w:type="dxa" w:w="5112"/>
            <w:vAlign w:val="center"/>
          </w:tcPr>
          <w:p>
            <w:r/>
            <w:r>
              <w:rPr>
                <w:b w:val="0"/>
                <w:sz w:val="18"/>
              </w:rPr>
              <w:t>Preliminary territorial screening before new bridge interventions or early planning</w:t>
            </w:r>
          </w:p>
        </w:tc>
      </w:tr>
      <w:tr>
        <w:tc>
          <w:tcPr>
            <w:tcW w:type="dxa" w:w="5112"/>
            <w:vAlign w:val="center"/>
          </w:tcPr>
          <w:p>
            <w:r/>
            <w:r>
              <w:rPr>
                <w:b/>
                <w:sz w:val="18"/>
              </w:rPr>
              <w:t>Spatial level</w:t>
            </w:r>
          </w:p>
        </w:tc>
        <w:tc>
          <w:tcPr>
            <w:tcW w:type="dxa" w:w="5112"/>
            <w:vAlign w:val="center"/>
          </w:tcPr>
          <w:p>
            <w:r/>
            <w:r>
              <w:rPr>
                <w:b w:val="0"/>
                <w:sz w:val="18"/>
              </w:rPr>
              <w:t>Province level</w:t>
            </w:r>
          </w:p>
        </w:tc>
      </w:tr>
      <w:tr>
        <w:tc>
          <w:tcPr>
            <w:tcW w:type="dxa" w:w="5112"/>
            <w:vAlign w:val="center"/>
          </w:tcPr>
          <w:p>
            <w:r/>
            <w:r>
              <w:rPr>
                <w:b/>
                <w:sz w:val="18"/>
              </w:rPr>
              <w:t>Geometry source</w:t>
            </w:r>
          </w:p>
        </w:tc>
        <w:tc>
          <w:tcPr>
            <w:tcW w:type="dxa" w:w="5112"/>
            <w:vAlign w:val="center"/>
          </w:tcPr>
          <w:p>
            <w:r/>
            <w:r>
              <w:rPr>
                <w:b w:val="0"/>
                <w:sz w:val="18"/>
              </w:rPr>
              <w:t>Administrative provincial boundary</w:t>
            </w:r>
          </w:p>
        </w:tc>
      </w:tr>
      <w:tr>
        <w:tc>
          <w:tcPr>
            <w:tcW w:type="dxa" w:w="5112"/>
            <w:vAlign w:val="center"/>
          </w:tcPr>
          <w:p>
            <w:r/>
            <w:r>
              <w:rPr>
                <w:b/>
                <w:sz w:val="18"/>
              </w:rPr>
              <w:t>Main output</w:t>
            </w:r>
          </w:p>
        </w:tc>
        <w:tc>
          <w:tcPr>
            <w:tcW w:type="dxa" w:w="5112"/>
            <w:vAlign w:val="center"/>
          </w:tcPr>
          <w:p>
            <w:r/>
            <w:r>
              <w:rPr>
                <w:b w:val="0"/>
                <w:sz w:val="18"/>
              </w:rPr>
              <w:t>Province-based Territory Briefing PDF</w:t>
            </w:r>
          </w:p>
        </w:tc>
      </w:tr>
      <w:tr>
        <w:tc>
          <w:tcPr>
            <w:tcW w:type="dxa" w:w="5112"/>
            <w:vAlign w:val="center"/>
          </w:tcPr>
          <w:p>
            <w:r/>
            <w:r>
              <w:rPr>
                <w:b/>
                <w:sz w:val="18"/>
              </w:rPr>
              <w:t>Optional exports</w:t>
            </w:r>
          </w:p>
        </w:tc>
        <w:tc>
          <w:tcPr>
            <w:tcW w:type="dxa" w:w="5112"/>
            <w:vAlign w:val="center"/>
          </w:tcPr>
          <w:p>
            <w:r/>
            <w:r>
              <w:rPr>
                <w:b w:val="0"/>
                <w:sz w:val="18"/>
              </w:rPr>
              <w:t>Filtered events CSV, source table, GeoJSON of province and events</w:t>
            </w:r>
          </w:p>
        </w:tc>
      </w:tr>
    </w:tbl>
    <w:p>
      <w:pPr>
        <w:pStyle w:val="Heading1"/>
      </w:pPr>
      <w:r>
        <w:t>4. Platform Changes Required</w:t>
      </w:r>
    </w:p>
    <w:p>
      <w:pPr>
        <w:pStyle w:val="Heading2"/>
      </w:pPr>
      <w:r>
        <w:t>4.1 Entry Step: Select Province</w:t>
      </w:r>
    </w:p>
    <w:p>
      <w:r>
        <w:t>Replace the current “select or draw area” logic with a single, clearer province selector.</w:t>
      </w:r>
    </w:p>
    <w:p>
      <w:pPr>
        <w:pStyle w:val="ListBullet"/>
      </w:pPr>
      <w:r>
        <w:t>Remove the “Draw area” button from Path 01.</w:t>
      </w:r>
    </w:p>
    <w:p>
      <w:pPr>
        <w:pStyle w:val="ListBullet"/>
      </w:pPr>
      <w:r>
        <w:t>Rename Step 01 from “Select Area” to “Select Province”.</w:t>
      </w:r>
    </w:p>
    <w:p>
      <w:pPr>
        <w:pStyle w:val="ListBullet"/>
      </w:pPr>
      <w:r>
        <w:t>Allow search by province name only.</w:t>
      </w:r>
    </w:p>
    <w:p>
      <w:pPr>
        <w:pStyle w:val="ListBullet"/>
      </w:pPr>
      <w:r>
        <w:t>Allow map click on province boundary if a provincial layer is available.</w:t>
      </w:r>
    </w:p>
    <w:p>
      <w:pPr>
        <w:pStyle w:val="ListBullet"/>
      </w:pPr>
      <w:r>
        <w:t>Show the selected province immediately with event count, source count and dominant mechanism.</w:t>
      </w:r>
    </w:p>
    <w:p>
      <w:pPr>
        <w:pStyle w:val="Heading2"/>
      </w:pPr>
      <w:r>
        <w:t>4.2 Suggested UI Copy</w:t>
      </w:r>
    </w:p>
    <w:tbl>
      <w:tblPr>
        <w:tblW w:type="auto" w:w="0"/>
        <w:jc w:val="center"/>
        <w:tblLook w:firstColumn="1" w:firstRow="1" w:lastColumn="0" w:lastRow="0" w:noHBand="0" w:noVBand="1" w:val="04A0"/>
      </w:tblPr>
      <w:tblGrid>
        <w:gridCol w:w="5112"/>
        <w:gridCol w:w="5112"/>
      </w:tblGrid>
      <w:tr>
        <w:tc>
          <w:tcPr>
            <w:tcW w:type="dxa" w:w="5112"/>
            <w:vAlign w:val="center"/>
            <w:shd w:fill="C49040"/>
          </w:tcPr>
          <w:p>
            <w:r/>
            <w:r>
              <w:rPr>
                <w:b/>
                <w:sz w:val="18"/>
              </w:rPr>
              <w:t>Component</w:t>
            </w:r>
          </w:p>
        </w:tc>
        <w:tc>
          <w:tcPr>
            <w:tcW w:type="dxa" w:w="5112"/>
            <w:vAlign w:val="center"/>
            <w:shd w:fill="C49040"/>
          </w:tcPr>
          <w:p>
            <w:r/>
            <w:r>
              <w:rPr>
                <w:b/>
                <w:sz w:val="18"/>
              </w:rPr>
              <w:t>Suggested Text</w:t>
            </w:r>
          </w:p>
        </w:tc>
      </w:tr>
      <w:tr>
        <w:tc>
          <w:tcPr>
            <w:tcW w:type="dxa" w:w="5112"/>
            <w:vAlign w:val="center"/>
          </w:tcPr>
          <w:p>
            <w:r/>
            <w:r>
              <w:rPr>
                <w:b/>
                <w:sz w:val="18"/>
              </w:rPr>
              <w:t>Step title</w:t>
            </w:r>
          </w:p>
        </w:tc>
        <w:tc>
          <w:tcPr>
            <w:tcW w:type="dxa" w:w="5112"/>
            <w:vAlign w:val="center"/>
          </w:tcPr>
          <w:p>
            <w:r/>
            <w:r>
              <w:rPr>
                <w:b w:val="0"/>
                <w:sz w:val="18"/>
              </w:rPr>
              <w:t>01 / Select Province</w:t>
            </w:r>
          </w:p>
        </w:tc>
      </w:tr>
      <w:tr>
        <w:tc>
          <w:tcPr>
            <w:tcW w:type="dxa" w:w="5112"/>
            <w:vAlign w:val="center"/>
          </w:tcPr>
          <w:p>
            <w:r/>
            <w:r>
              <w:rPr>
                <w:b/>
                <w:sz w:val="18"/>
              </w:rPr>
              <w:t>Instruction</w:t>
            </w:r>
          </w:p>
        </w:tc>
        <w:tc>
          <w:tcPr>
            <w:tcW w:type="dxa" w:w="5112"/>
            <w:vAlign w:val="center"/>
          </w:tcPr>
          <w:p>
            <w:r/>
            <w:r>
              <w:rPr>
                <w:b w:val="0"/>
                <w:sz w:val="18"/>
              </w:rPr>
              <w:t>Choose the province to screen for new bridge or territorial planning context.</w:t>
            </w:r>
          </w:p>
        </w:tc>
      </w:tr>
      <w:tr>
        <w:tc>
          <w:tcPr>
            <w:tcW w:type="dxa" w:w="5112"/>
            <w:vAlign w:val="center"/>
          </w:tcPr>
          <w:p>
            <w:r/>
            <w:r>
              <w:rPr>
                <w:b/>
                <w:sz w:val="18"/>
              </w:rPr>
              <w:t>Helper text</w:t>
            </w:r>
          </w:p>
        </w:tc>
        <w:tc>
          <w:tcPr>
            <w:tcW w:type="dxa" w:w="5112"/>
            <w:vAlign w:val="center"/>
          </w:tcPr>
          <w:p>
            <w:r/>
            <w:r>
              <w:rPr>
                <w:b w:val="0"/>
                <w:sz w:val="18"/>
              </w:rPr>
              <w:t>Path 01 works at province level to provide a consistent preliminary screening output.</w:t>
            </w:r>
          </w:p>
        </w:tc>
      </w:tr>
      <w:tr>
        <w:tc>
          <w:tcPr>
            <w:tcW w:type="dxa" w:w="5112"/>
            <w:vAlign w:val="center"/>
          </w:tcPr>
          <w:p>
            <w:r/>
            <w:r>
              <w:rPr>
                <w:b/>
                <w:sz w:val="18"/>
              </w:rPr>
              <w:t>CTA</w:t>
            </w:r>
          </w:p>
        </w:tc>
        <w:tc>
          <w:tcPr>
            <w:tcW w:type="dxa" w:w="5112"/>
            <w:vAlign w:val="center"/>
          </w:tcPr>
          <w:p>
            <w:r/>
            <w:r>
              <w:rPr>
                <w:b w:val="0"/>
                <w:sz w:val="18"/>
              </w:rPr>
              <w:t>Generate Province Briefing</w:t>
            </w:r>
          </w:p>
        </w:tc>
      </w:tr>
    </w:tbl>
    <w:p>
      <w:pPr>
        <w:pStyle w:val="Heading1"/>
      </w:pPr>
      <w:r>
        <w:t>5. Data Model: Replace selectedAreaContext with Province Context</w:t>
      </w:r>
    </w:p>
    <w:p>
      <w:r>
        <w:t>Use a single province-based object to drive the entire report. This object should populate the cover, selected area section, map, filtering, limitations and export metadata.</w:t>
      </w:r>
    </w:p>
    <w:p>
      <w:r>
        <w:rPr>
          <w:rFonts w:ascii="Courier New" w:hAnsi="Courier New"/>
          <w:sz w:val="18"/>
        </w:rPr>
        <w:t>const provinceContext = {</w:t>
        <w:br/>
        <w:t xml:space="preserve">  selectionType: 'Province',</w:t>
        <w:br/>
        <w:t xml:space="preserve">  areaLabel: 'Torino',</w:t>
        <w:br/>
        <w:t xml:space="preserve">  provinceCode: 'TO',</w:t>
        <w:br/>
        <w:t xml:space="preserve">  region: 'Piemonte',</w:t>
        <w:br/>
        <w:t xml:space="preserve">  spatialLevel: 'Province level',</w:t>
        <w:br/>
        <w:t xml:space="preserve">  geometrySource: 'Administrative provincial boundary',</w:t>
        <w:br/>
        <w:t xml:space="preserve">  projectContext: 'Bridge',</w:t>
        <w:br/>
        <w:t xml:space="preserve">  generatedOn: '01/06/2026'</w:t>
        <w:br/>
        <w:t>};</w:t>
      </w:r>
    </w:p>
    <w:p>
      <w:pPr>
        <w:spacing w:before="120" w:after="120"/>
        <w:ind w:left="216"/>
      </w:pPr>
      <w:r>
        <w:rPr>
          <w:i/>
          <w:color w:val="5B4E41"/>
          <w:sz w:val="20"/>
        </w:rPr>
        <w:t>Every report field should read from this provinceContext object. Do not keep fallback text such as “custom selected-area screening” if Path 01 is now province-only.</w:t>
      </w:r>
    </w:p>
    <w:p>
      <w:pPr>
        <w:pStyle w:val="Heading1"/>
      </w:pPr>
      <w:r>
        <w:t>6. PDF Issues Still Visible in the Current Export</w:t>
      </w:r>
    </w:p>
    <w:p>
      <w:pPr>
        <w:pStyle w:val="ListBullet"/>
      </w:pPr>
      <w:r>
        <w:t>Browser headers and footers are still visible: date, title and “about:blank” appear on pages.</w:t>
      </w:r>
    </w:p>
    <w:p>
      <w:pPr>
        <w:pStyle w:val="ListBullet"/>
      </w:pPr>
      <w:r>
        <w:t>The map is still a preview and contains the text “use Leaflet capture for official PDF”.</w:t>
      </w:r>
    </w:p>
    <w:p>
      <w:pPr>
        <w:pStyle w:val="ListBullet"/>
      </w:pPr>
      <w:r>
        <w:t>Page 3 is too dense because it contains Selected Area &amp; Map, How to Read, Key Indicators and Hazard Context.</w:t>
      </w:r>
    </w:p>
    <w:p>
      <w:pPr>
        <w:pStyle w:val="ListBullet"/>
      </w:pPr>
      <w:r>
        <w:t>The Source Appendix is useful but visually compressed, especially the Date and URL columns.</w:t>
      </w:r>
    </w:p>
    <w:p>
      <w:pPr>
        <w:pStyle w:val="ListBullet"/>
      </w:pPr>
      <w:r>
        <w:t>Some wording still assumes both province-level and custom selected-area logic.</w:t>
      </w:r>
    </w:p>
    <w:p>
      <w:pPr>
        <w:pStyle w:val="Heading1"/>
      </w:pPr>
      <w:r>
        <w:t>7. PDF Export Recommendation</w:t>
      </w:r>
    </w:p>
    <w:p>
      <w:r>
        <w:t>The HTML report should remain the internal preview format, but the official client-facing export should be a PDF generated with a controlled PDF engine, not browser print.</w:t>
      </w:r>
    </w:p>
    <w:p>
      <w:pPr>
        <w:pStyle w:val="ListBullet"/>
      </w:pPr>
      <w:r>
        <w:t>Use Puppeteer or Playwright for server-side PDF generation.</w:t>
      </w:r>
    </w:p>
    <w:p>
      <w:pPr>
        <w:pStyle w:val="ListBullet"/>
      </w:pPr>
      <w:r>
        <w:t>Disable browser header and footer output.</w:t>
      </w:r>
    </w:p>
    <w:p>
      <w:pPr>
        <w:pStyle w:val="ListBullet"/>
      </w:pPr>
      <w:r>
        <w:t>Use A4 page size with fixed margins.</w:t>
      </w:r>
    </w:p>
    <w:p>
      <w:pPr>
        <w:pStyle w:val="ListBullet"/>
      </w:pPr>
      <w:r>
        <w:t>Use printBackground: true to preserve ARCUS styling.</w:t>
      </w:r>
    </w:p>
    <w:p>
      <w:pPr>
        <w:pStyle w:val="ListBullet"/>
      </w:pPr>
      <w:r>
        <w:t>Keep full tables available as CSV/Excel exports instead of overloading the PDF.</w:t>
      </w:r>
    </w:p>
    <w:p>
      <w:r>
        <w:rPr>
          <w:rFonts w:ascii="Courier New" w:hAnsi="Courier New"/>
          <w:sz w:val="18"/>
        </w:rPr>
        <w:t>await page.pdf({</w:t>
        <w:br/>
        <w:t xml:space="preserve">  format: 'A4',</w:t>
        <w:br/>
        <w:t xml:space="preserve">  printBackground: true,</w:t>
        <w:br/>
        <w:t xml:space="preserve">  displayHeaderFooter: false,</w:t>
        <w:br/>
        <w:t xml:space="preserve">  margin: { top: '14mm', right: '14mm', bottom: '14mm', left: '14mm' }</w:t>
        <w:br/>
        <w:t>});</w:t>
      </w:r>
    </w:p>
    <w:p>
      <w:pPr>
        <w:pStyle w:val="Heading1"/>
      </w:pPr>
      <w:r>
        <w:t>8. Map Strategy: Use the Real Platform Map</w:t>
      </w:r>
    </w:p>
    <w:p>
      <w:r>
        <w:t>The map should not be a schematic placeholder. Since Path 01 is province-only, the map can be generated consistently and reliably.</w:t>
      </w:r>
    </w:p>
    <w:p>
      <w:pPr>
        <w:pStyle w:val="ListBullet"/>
      </w:pPr>
      <w:r>
        <w:t>Show the real basemap used in ARCUS/Leaflet.</w:t>
      </w:r>
    </w:p>
    <w:p>
      <w:pPr>
        <w:pStyle w:val="ListBullet"/>
      </w:pPr>
      <w:r>
        <w:t>Highlight the selected province boundary.</w:t>
      </w:r>
    </w:p>
    <w:p>
      <w:pPr>
        <w:pStyle w:val="ListBullet"/>
      </w:pPr>
      <w:r>
        <w:t>Show ARCUS collapse markers within the province.</w:t>
      </w:r>
    </w:p>
    <w:p>
      <w:pPr>
        <w:pStyle w:val="ListBullet"/>
      </w:pPr>
      <w:r>
        <w:t>Use marker colors/categories consistent with the platform.</w:t>
      </w:r>
    </w:p>
    <w:p>
      <w:pPr>
        <w:pStyle w:val="ListBullet"/>
      </w:pPr>
      <w:r>
        <w:t>Include a compact legend, north arrow and scale bar.</w:t>
      </w:r>
    </w:p>
    <w:p>
      <w:pPr>
        <w:pStyle w:val="ListBullet"/>
      </w:pPr>
      <w:r>
        <w:t>Add a small note: “Territorial screening map. Not for design scale.”</w:t>
      </w:r>
    </w:p>
    <w:p>
      <w:pPr>
        <w:pStyle w:val="ListBullet"/>
      </w:pPr>
      <w:r>
        <w:t>Export the map as a PNG image and embed it in the PDF.</w:t>
      </w:r>
    </w:p>
    <w:p>
      <w:pPr>
        <w:pStyle w:val="Heading1"/>
      </w:pPr>
      <w:r>
        <w:t>9. Recommended Report Structure After Province-Only Simplification</w:t>
      </w:r>
    </w:p>
    <w:p>
      <w:pPr>
        <w:pStyle w:val="ListNumber"/>
      </w:pPr>
      <w:r>
        <w:t>Cover: report ID, province, project context, generated date, version.</w:t>
      </w:r>
    </w:p>
    <w:p>
      <w:pPr>
        <w:pStyle w:val="ListNumber"/>
      </w:pPr>
      <w:r>
        <w:t>01 / Executive Summary: result, recommended use, three key findings.</w:t>
      </w:r>
    </w:p>
    <w:p>
      <w:pPr>
        <w:pStyle w:val="ListNumber"/>
      </w:pPr>
      <w:r>
        <w:t>02 / Selected Province &amp; Map: province metadata and real map capture.</w:t>
      </w:r>
    </w:p>
    <w:p>
      <w:pPr>
        <w:pStyle w:val="ListNumber"/>
      </w:pPr>
      <w:r>
        <w:t>03 / How to Read This Report: scope and limitations.</w:t>
      </w:r>
    </w:p>
    <w:p>
      <w:pPr>
        <w:pStyle w:val="ListNumber"/>
      </w:pPr>
      <w:r>
        <w:t>04 / Key Indicators: four KPI cards with value, class and driver.</w:t>
      </w:r>
    </w:p>
    <w:p>
      <w:pPr>
        <w:pStyle w:val="ListNumber"/>
      </w:pPr>
      <w:r>
        <w:t>05 / Hazard Context: hazard table and interpretive note.</w:t>
      </w:r>
    </w:p>
    <w:p>
      <w:pPr>
        <w:pStyle w:val="ListNumber"/>
      </w:pPr>
      <w:r>
        <w:t>06 / Historical Evidence: cause distribution and key pattern note.</w:t>
      </w:r>
    </w:p>
    <w:p>
      <w:pPr>
        <w:pStyle w:val="ListNumber"/>
      </w:pPr>
      <w:r>
        <w:t>07 / Priority Events: top 5 events with “Why flagged” and map references.</w:t>
      </w:r>
    </w:p>
    <w:p>
      <w:pPr>
        <w:pStyle w:val="ListNumber"/>
      </w:pPr>
      <w:r>
        <w:t>08 / Comparable Precedents: simplified table for PDF readability.</w:t>
      </w:r>
    </w:p>
    <w:p>
      <w:pPr>
        <w:pStyle w:val="ListNumber"/>
      </w:pPr>
      <w:r>
        <w:t>09 / Interpretation: what the evidence means for new bridge interventions.</w:t>
      </w:r>
    </w:p>
    <w:p>
      <w:pPr>
        <w:pStyle w:val="ListNumber"/>
      </w:pPr>
      <w:r>
        <w:t>10 / Decision Use: can support / should not be used as.</w:t>
      </w:r>
    </w:p>
    <w:p>
      <w:pPr>
        <w:pStyle w:val="ListNumber"/>
      </w:pPr>
      <w:r>
        <w:t>11 / Recommendations: 3-4 action-oriented recommendations.</w:t>
      </w:r>
    </w:p>
    <w:p>
      <w:pPr>
        <w:pStyle w:val="ListNumber"/>
      </w:pPr>
      <w:r>
        <w:t>12 / National Benchmark: comparison and interpretation.</w:t>
      </w:r>
    </w:p>
    <w:p>
      <w:pPr>
        <w:pStyle w:val="ListNumber"/>
      </w:pPr>
      <w:r>
        <w:t>13 / Data Coverage &amp; Limitations: province-level limitations.</w:t>
      </w:r>
    </w:p>
    <w:p>
      <w:pPr>
        <w:pStyle w:val="ListNumber"/>
      </w:pPr>
      <w:r>
        <w:t>14 / Methodology Snapshot: model logic.</w:t>
      </w:r>
    </w:p>
    <w:p>
      <w:pPr>
        <w:pStyle w:val="ListNumber"/>
      </w:pPr>
      <w:r>
        <w:t>15 / Score and Class Legend.</w:t>
      </w:r>
    </w:p>
    <w:p>
      <w:pPr>
        <w:pStyle w:val="ListNumber"/>
      </w:pPr>
      <w:r>
        <w:t>Appendix A / Main Sources: reduced main source table; full table exported separately.</w:t>
      </w:r>
    </w:p>
    <w:p>
      <w:pPr>
        <w:pStyle w:val="Heading1"/>
      </w:pPr>
      <w:r>
        <w:t>10. Text Changes to Apply</w:t>
      </w:r>
    </w:p>
    <w:tbl>
      <w:tblPr>
        <w:tblW w:type="auto" w:w="0"/>
        <w:tblLook w:firstColumn="1" w:firstRow="1" w:lastColumn="0" w:lastRow="0" w:noHBand="0" w:noVBand="1" w:val="04A0"/>
      </w:tblPr>
      <w:tblGrid>
        <w:gridCol w:w="5112"/>
        <w:gridCol w:w="5112"/>
      </w:tblGrid>
      <w:tr>
        <w:tc>
          <w:tcPr>
            <w:tcW w:type="dxa" w:w="5112"/>
            <w:vAlign w:val="center"/>
            <w:shd w:fill="C49040"/>
          </w:tcPr>
          <w:p>
            <w:r/>
            <w:r>
              <w:rPr>
                <w:b/>
                <w:sz w:val="18"/>
              </w:rPr>
              <w:t>Current / Risky Text</w:t>
            </w:r>
          </w:p>
        </w:tc>
        <w:tc>
          <w:tcPr>
            <w:tcW w:type="dxa" w:w="5112"/>
            <w:vAlign w:val="center"/>
            <w:shd w:fill="C49040"/>
          </w:tcPr>
          <w:p>
            <w:r/>
            <w:r>
              <w:rPr>
                <w:b/>
                <w:sz w:val="18"/>
              </w:rPr>
              <w:t>Recommended Replacement</w:t>
            </w:r>
          </w:p>
        </w:tc>
      </w:tr>
      <w:tr>
        <w:tc>
          <w:tcPr>
            <w:tcW w:type="dxa" w:w="5112"/>
            <w:vAlign w:val="center"/>
          </w:tcPr>
          <w:p>
            <w:r/>
            <w:r>
              <w:rPr>
                <w:b w:val="0"/>
                <w:sz w:val="18"/>
              </w:rPr>
              <w:t>high attention infrastructure attention level</w:t>
            </w:r>
          </w:p>
        </w:tc>
        <w:tc>
          <w:tcPr>
            <w:tcW w:type="dxa" w:w="5112"/>
            <w:vAlign w:val="center"/>
          </w:tcPr>
          <w:p>
            <w:r/>
            <w:r>
              <w:rPr>
                <w:b w:val="0"/>
                <w:sz w:val="18"/>
              </w:rPr>
              <w:t>high infrastructure attention level</w:t>
            </w:r>
          </w:p>
        </w:tc>
      </w:tr>
      <w:tr>
        <w:tc>
          <w:tcPr>
            <w:tcW w:type="dxa" w:w="5112"/>
            <w:vAlign w:val="center"/>
          </w:tcPr>
          <w:p>
            <w:r/>
            <w:r>
              <w:rPr>
                <w:b w:val="0"/>
                <w:sz w:val="18"/>
              </w:rPr>
              <w:t>Province-level or custom selected-area screening</w:t>
            </w:r>
          </w:p>
        </w:tc>
        <w:tc>
          <w:tcPr>
            <w:tcW w:type="dxa" w:w="5112"/>
            <w:vAlign w:val="center"/>
          </w:tcPr>
          <w:p>
            <w:r/>
            <w:r>
              <w:rPr>
                <w:b w:val="0"/>
                <w:sz w:val="18"/>
              </w:rPr>
              <w:t>Province-level screening based on the selected administrative boundary</w:t>
            </w:r>
          </w:p>
        </w:tc>
      </w:tr>
      <w:tr>
        <w:tc>
          <w:tcPr>
            <w:tcW w:type="dxa" w:w="5112"/>
            <w:vAlign w:val="center"/>
          </w:tcPr>
          <w:p>
            <w:r/>
            <w:r>
              <w:rPr>
                <w:b w:val="0"/>
                <w:sz w:val="18"/>
              </w:rPr>
              <w:t>custom selected-area</w:t>
            </w:r>
          </w:p>
        </w:tc>
        <w:tc>
          <w:tcPr>
            <w:tcW w:type="dxa" w:w="5112"/>
            <w:vAlign w:val="center"/>
          </w:tcPr>
          <w:p>
            <w:r/>
            <w:r>
              <w:rPr>
                <w:b w:val="0"/>
                <w:sz w:val="18"/>
              </w:rPr>
              <w:t>selected province</w:t>
            </w:r>
          </w:p>
        </w:tc>
      </w:tr>
      <w:tr>
        <w:tc>
          <w:tcPr>
            <w:tcW w:type="dxa" w:w="5112"/>
            <w:vAlign w:val="center"/>
          </w:tcPr>
          <w:p>
            <w:r/>
            <w:r>
              <w:rPr>
                <w:b w:val="0"/>
                <w:sz w:val="18"/>
              </w:rPr>
              <w:t>Report-map preview: use Leaflet capture for official PDF</w:t>
            </w:r>
          </w:p>
        </w:tc>
        <w:tc>
          <w:tcPr>
            <w:tcW w:type="dxa" w:w="5112"/>
            <w:vAlign w:val="center"/>
          </w:tcPr>
          <w:p>
            <w:r/>
            <w:r>
              <w:rPr>
                <w:b w:val="0"/>
                <w:sz w:val="18"/>
              </w:rPr>
              <w:t>Real ARCUS map capture showing selected province, events and active hazard context</w:t>
            </w:r>
          </w:p>
        </w:tc>
      </w:tr>
      <w:tr>
        <w:tc>
          <w:tcPr>
            <w:tcW w:type="dxa" w:w="5112"/>
            <w:vAlign w:val="center"/>
          </w:tcPr>
          <w:p>
            <w:r/>
            <w:r>
              <w:rPr>
                <w:b w:val="0"/>
                <w:sz w:val="18"/>
              </w:rPr>
              <w:t>Selection type: Area / Custom / Province mixed logic</w:t>
            </w:r>
          </w:p>
        </w:tc>
        <w:tc>
          <w:tcPr>
            <w:tcW w:type="dxa" w:w="5112"/>
            <w:vAlign w:val="center"/>
          </w:tcPr>
          <w:p>
            <w:r/>
            <w:r>
              <w:rPr>
                <w:b w:val="0"/>
                <w:sz w:val="18"/>
              </w:rPr>
              <w:t>Selection type: Province</w:t>
            </w:r>
          </w:p>
        </w:tc>
      </w:tr>
    </w:tbl>
    <w:p>
      <w:pPr>
        <w:pStyle w:val="Heading1"/>
      </w:pPr>
      <w:r>
        <w:t>11. Implementation Order</w:t>
      </w:r>
    </w:p>
    <w:p>
      <w:pPr>
        <w:pStyle w:val="ListNumber"/>
      </w:pPr>
      <w:r>
        <w:t>Remove the draw-area option from Path 01 UI.</w:t>
      </w:r>
    </w:p>
    <w:p>
      <w:pPr>
        <w:pStyle w:val="ListNumber"/>
      </w:pPr>
      <w:r>
        <w:t>Rename Step 01 to “Select Province”.</w:t>
      </w:r>
    </w:p>
    <w:p>
      <w:pPr>
        <w:pStyle w:val="ListNumber"/>
      </w:pPr>
      <w:r>
        <w:t>Create a single provinceContext object and use it everywhere in the report.</w:t>
      </w:r>
    </w:p>
    <w:p>
      <w:pPr>
        <w:pStyle w:val="ListNumber"/>
      </w:pPr>
      <w:r>
        <w:t>Remove all custom-area wording from the Path 01 report template.</w:t>
      </w:r>
    </w:p>
    <w:p>
      <w:pPr>
        <w:pStyle w:val="ListNumber"/>
      </w:pPr>
      <w:r>
        <w:t>Generate the PDF with Puppeteer/Playwright and disable browser headers/footers.</w:t>
      </w:r>
    </w:p>
    <w:p>
      <w:pPr>
        <w:pStyle w:val="ListNumber"/>
      </w:pPr>
      <w:r>
        <w:t>Replace the schematic map with a real Leaflet map capture.</w:t>
      </w:r>
    </w:p>
    <w:p>
      <w:pPr>
        <w:pStyle w:val="ListNumber"/>
      </w:pPr>
      <w:r>
        <w:t>Move full event/source tables to separate CSV/Excel exports and keep the PDF compact.</w:t>
      </w:r>
    </w:p>
    <w:p>
      <w:pPr>
        <w:pStyle w:val="ListNumber"/>
      </w:pPr>
      <w:r>
        <w:t>Add map references to the top 5 Priority Events.</w:t>
      </w:r>
    </w:p>
    <w:p>
      <w:pPr>
        <w:pStyle w:val="ListNumber"/>
      </w:pPr>
      <w:r>
        <w:t>Re-test the PDF for at least three provinces with different event densities.</w:t>
      </w:r>
    </w:p>
    <w:p>
      <w:pPr>
        <w:pStyle w:val="Heading1"/>
      </w:pPr>
      <w:r>
        <w:t>12. Final Recommendation</w:t>
      </w:r>
    </w:p>
    <w:p>
      <w:r>
        <w:t>Keeping Path 01 province-only is the right move for now. It gives ARCUS Professional a cleaner, more reliable and more defensible first report. The product will feel more mature because the user receives a consistent province-based preliminary screening output, rather than a flexible but potentially ambiguous custom-area report.</w:t>
      </w:r>
    </w:p>
    <w:p>
      <w:r>
        <w:t>Custom drawn areas should not disappear forever. They can return later as an advanced Professional feature or Enterprise workflow, once the reporting engine, map capture, geometry intersection and metadata logic are fully stable.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4E41"/>
        <w:sz w:val="16"/>
      </w:rPr>
      <w:t>ARCUS Professional - Path 01 Province-Only Report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71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71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71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