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49040"/>
          <w:sz w:val="56"/>
        </w:rPr>
        <w:t>ARCUS</w:t>
      </w:r>
    </w:p>
    <w:p>
      <w:pPr>
        <w:jc w:val="center"/>
      </w:pPr>
      <w:r>
        <w:rPr>
          <w:b/>
          <w:color w:val="15110F"/>
          <w:sz w:val="44"/>
        </w:rPr>
        <w:t>ARCUS Path 01 - Territory Briefing</w:t>
      </w:r>
    </w:p>
    <w:p>
      <w:pPr>
        <w:jc w:val="center"/>
      </w:pPr>
      <w:r>
        <w:rPr>
          <w:color w:val="7A6548"/>
          <w:sz w:val="22"/>
        </w:rPr>
        <w:t>Final review of the updated Torino export and recommended improvements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9F2E8"/>
          </w:tcPr>
          <w:p>
            <w:pPr>
              <w:spacing w:after="0"/>
            </w:pPr>
            <w:r>
              <w:rPr>
                <w:color w:val="4F463D"/>
                <w:sz w:val="18"/>
              </w:rPr>
              <w:t>Scope: review of the updated Path 01 / New Territory export for Torino, with concrete improvements to import into the platform and report generator.</w:t>
            </w:r>
          </w:p>
        </w:tc>
      </w:tr>
    </w:tbl>
    <w:p>
      <w:pPr>
        <w:spacing w:before="360" w:after="160"/>
      </w:pPr>
      <w:r>
        <w:rPr>
          <w:b/>
          <w:color w:val="15110F"/>
          <w:sz w:val="32"/>
        </w:rPr>
        <w:t>1. Sintesi della valutazione</w:t>
      </w:r>
    </w:p>
    <w:p>
      <w:r>
        <w:t>Il report è migliorato in modo netto rispetto alla versione precedente: ora comunica meglio che ARCUS non produce una certificazione strutturale, ma un briefing professionale di screening, prioritizzazione e contesto territoriale.</w:t>
      </w:r>
    </w:p>
    <w:p>
      <w:r>
        <w:t>Sono stati corretti diversi punti critici: encoding UTF-8, Executive Summary più utile, Historical Evidence coerente, rinomina di “Structural vulnerability exposure” in “Failure precedent exposure”, Comparable Precedents con punteggi differenziati, sezione Decision Use e Source Appendix.</w:t>
      </w:r>
    </w:p>
    <w:p>
      <w:r>
        <w:t>Il report è già credibile come output Professional, ma può diventare più forte se ogni tabella viene accompagnata da una frase interpretativa, se i KPI vengono resi ancora più leggibili e se le raccomandazioni diventano più operative e territorialmente specifiche.</w:t>
      </w:r>
    </w:p>
    <w:p>
      <w:pPr>
        <w:spacing w:before="360" w:after="160"/>
      </w:pPr>
      <w:r>
        <w:rPr>
          <w:b/>
          <w:color w:val="15110F"/>
          <w:sz w:val="32"/>
        </w:rPr>
        <w:t>2. Miglioramenti già riusciti nella nuova versione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C49040"/>
            <w:vAlign w:val="center"/>
          </w:tcPr>
          <w:p>
            <w:r/>
            <w:r>
              <w:rPr>
                <w:b/>
                <w:color w:val="15110F"/>
                <w:sz w:val="18"/>
              </w:rPr>
              <w:t>Area</w:t>
            </w:r>
          </w:p>
        </w:tc>
        <w:tc>
          <w:tcPr>
            <w:tcW w:type="dxa" w:w="5040"/>
            <w:shd w:fill="C49040"/>
            <w:vAlign w:val="center"/>
          </w:tcPr>
          <w:p>
            <w:r/>
            <w:r>
              <w:rPr>
                <w:b/>
                <w:color w:val="15110F"/>
                <w:sz w:val="18"/>
              </w:rPr>
              <w:t>Valutazione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Encoding e titolo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Corretto il problema dei caratteri “â€””; ora il report usa UTF-8 e il titolo appare pulito.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Executive Summary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Molto più professionale: include driver principale, numero di precedenti, fonti e key findings.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Historical Evidence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Ora la distribuzione cause è coerente con il resto del report: 41 Hydraulic e 1 Design and Construction.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Terminologia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“Failure precedent exposure” è molto meglio di “Structural vulnerability exposure”, perché evita implicazioni di certificazione strutturale.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Priority Events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La colonna “Why flagged” è un miglioramento importante perché rende il ranking spiegabile.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Comparable Precedents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 punteggi differenziati 94/91/88/85/82 sono più credibili dei precedenti 100/100 ripetuti.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Decision 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Ottima sezione: chiarisce cosa il report può supportare e cosa non deve sostituire.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Source Appendix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Molto utile per clienti importanti: aumenta tracciabilità, auditabilità e fiducia.</w:t>
            </w:r>
          </w:p>
        </w:tc>
      </w:tr>
    </w:tbl>
    <w:p/>
    <w:p>
      <w:pPr>
        <w:spacing w:before="360" w:after="160"/>
      </w:pPr>
      <w:r>
        <w:rPr>
          <w:b/>
          <w:color w:val="15110F"/>
          <w:sz w:val="32"/>
        </w:rPr>
        <w:t>3. Miglioramenti da importare ancora</w:t>
      </w:r>
    </w:p>
    <w:p>
      <w:pPr>
        <w:spacing w:before="320" w:after="120"/>
      </w:pPr>
      <w:r>
        <w:rPr>
          <w:b/>
          <w:color w:val="7A6548"/>
          <w:sz w:val="18"/>
        </w:rPr>
        <w:t>3.1 RAFFORZARE LA LETTURA DEI KPI</w:t>
      </w:r>
    </w:p>
    <w:p>
      <w:r>
        <w:t>I KPI sono buoni, ma alcuni testi sono ancora un po’ ripetitivi o troppo automatici. Ogni KPI dovrebbe avere sempre tre livelli:</w:t>
      </w:r>
    </w:p>
    <w:p>
      <w:pPr>
        <w:pStyle w:val="ListBullet"/>
        <w:spacing w:after="40"/>
      </w:pPr>
      <w:r>
        <w:rPr>
          <w:sz w:val="20"/>
        </w:rPr>
        <w:t>Value</w:t>
      </w:r>
    </w:p>
    <w:p>
      <w:pPr>
        <w:pStyle w:val="ListBullet"/>
        <w:spacing w:after="40"/>
      </w:pPr>
      <w:r>
        <w:rPr>
          <w:sz w:val="20"/>
        </w:rPr>
        <w:t>Class</w:t>
      </w:r>
    </w:p>
    <w:p>
      <w:pPr>
        <w:pStyle w:val="ListBullet"/>
        <w:spacing w:after="40"/>
      </w:pPr>
      <w:r>
        <w:rPr>
          <w:sz w:val="20"/>
        </w:rPr>
        <w:t>Main driver /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C49040"/>
            <w:vAlign w:val="center"/>
          </w:tcPr>
          <w:p>
            <w:r/>
            <w:r>
              <w:rPr>
                <w:b/>
                <w:color w:val="15110F"/>
                <w:sz w:val="18"/>
              </w:rPr>
              <w:t>KPI attuale</w:t>
            </w:r>
          </w:p>
        </w:tc>
        <w:tc>
          <w:tcPr>
            <w:tcW w:type="dxa" w:w="5040"/>
            <w:shd w:fill="C49040"/>
            <w:vAlign w:val="center"/>
          </w:tcPr>
          <w:p>
            <w:r/>
            <w:r>
              <w:rPr>
                <w:b/>
                <w:color w:val="15110F"/>
                <w:sz w:val="18"/>
              </w:rPr>
              <w:t>Miglioria consigliata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Priority index: 82 / 100 - High attention - hydraulic - high attention...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Priority Index: 82 / 100. Class: High attention. Driver: hydraulic precedent density, triggered-event concentration and high evidence reliability.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Evidence reliability: 96 / 100 - Very high - 98% professional-grade - 125 sources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Evidence Reliability: 96 / 100. Class: Very high. Driver: 125 linked sources and 98% professional-grade evidence.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Failure precedent exposure: 72 / 100 - High - Hydraulic...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Failure Precedent Exposure: 72 / 100. Class: High. Driver: strong historical hydraulic pattern; not a structural certification.</w:t>
            </w:r>
          </w:p>
        </w:tc>
      </w:tr>
    </w:tbl>
    <w:p/>
    <w:p>
      <w:pPr>
        <w:spacing w:before="320" w:after="120"/>
      </w:pPr>
      <w:r>
        <w:rPr>
          <w:b/>
          <w:color w:val="7A6548"/>
          <w:sz w:val="18"/>
        </w:rPr>
        <w:t>3.2 AGGIUNGERE FRASI INTERPRETATIVE SOTTO OGNI TABELLA</w:t>
      </w:r>
    </w:p>
    <w:p>
      <w:r>
        <w:t>Le tabelle sono informative, ma un cliente professionale deve capire subito cosa significano. Dopo ogni tabella, aggiungere una frase generata automaticamente.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C49040"/>
            <w:vAlign w:val="center"/>
          </w:tcPr>
          <w:p>
            <w:r/>
            <w:r>
              <w:rPr>
                <w:b/>
                <w:color w:val="15110F"/>
                <w:sz w:val="18"/>
              </w:rPr>
              <w:t>Sezione</w:t>
            </w:r>
          </w:p>
        </w:tc>
        <w:tc>
          <w:tcPr>
            <w:tcW w:type="dxa" w:w="5040"/>
            <w:shd w:fill="C49040"/>
            <w:vAlign w:val="center"/>
          </w:tcPr>
          <w:p>
            <w:r/>
            <w:r>
              <w:rPr>
                <w:b/>
                <w:color w:val="15110F"/>
                <w:sz w:val="18"/>
              </w:rPr>
              <w:t>Frase interpretativa consigliata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Hazard Context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selected area is strongly dominated by hydraulic exposure: 41 matched collapses out of 42 are linked to hydraulic mechanisms. Landslide and seismic layers appear secondary in this preliminary screening.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Historical Evidence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Historical evidence confirms a highly concentrated cause pattern: hydraulic mechanisms represent 98% of the selected sample.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Priority Events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Priority events are mainly total-collapse, triggered and hydraulic-related precedents with high source reliability.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Comparable Precedents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Comparable precedents show strong similarity because they share cause, trigger, severity and territorial context, but they should be used as historical analogues, not direct predictions.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National Benchmark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Compared with the national ARCUS baseline, Torino shows stronger event-driven behaviour and stronger professional-grade source coverage.</w:t>
            </w:r>
          </w:p>
        </w:tc>
      </w:tr>
    </w:tbl>
    <w:p/>
    <w:p>
      <w:pPr>
        <w:spacing w:before="320" w:after="120"/>
      </w:pPr>
      <w:r>
        <w:rPr>
          <w:b/>
          <w:color w:val="7A6548"/>
          <w:sz w:val="18"/>
        </w:rPr>
        <w:t>3.3 RENDERE SOURCE APPENDIX PIÙ COMPATTA</w:t>
      </w:r>
    </w:p>
    <w:p>
      <w:r>
        <w:t>La Source Appendix è fondamentale, ma nel report HTML diventa molto lunga e ripetitiva perché le stesse fonti appaiono più volte per eventi diversi. Per PDF/report professionali è meglio separare fonte ed evento.</w:t>
      </w:r>
    </w:p>
    <w:p>
      <w:pPr>
        <w:pStyle w:val="ListBullet"/>
        <w:spacing w:after="40"/>
      </w:pPr>
      <w:r>
        <w:rPr>
          <w:sz w:val="20"/>
        </w:rPr>
        <w:t>Mostrare nel report solo le prime fonti principali, raggruppate per Event ID o per Source title.</w:t>
      </w:r>
    </w:p>
    <w:p>
      <w:pPr>
        <w:pStyle w:val="ListBullet"/>
        <w:spacing w:after="40"/>
      </w:pPr>
      <w:r>
        <w:rPr>
          <w:sz w:val="20"/>
        </w:rPr>
        <w:t>Aggiungere una riga: “Full source table exported separately as CSV/Excel”.</w:t>
      </w:r>
    </w:p>
    <w:p>
      <w:pPr>
        <w:pStyle w:val="ListBullet"/>
        <w:spacing w:after="40"/>
      </w:pPr>
      <w:r>
        <w:rPr>
          <w:sz w:val="20"/>
        </w:rPr>
        <w:t>Per fonti duplicate, mostrare una sola volta la fonte e indicare gli eventi collegati.</w:t>
      </w:r>
    </w:p>
    <w:p>
      <w:pPr>
        <w:pStyle w:val="ListBullet"/>
        <w:spacing w:after="40"/>
      </w:pPr>
      <w:r>
        <w:rPr>
          <w:sz w:val="20"/>
        </w:rPr>
        <w:t>Accorciare gli URL lunghi nel PDF, mantenendo il link cliccabile.</w:t>
      </w:r>
    </w:p>
    <w:p>
      <w:pPr>
        <w:spacing w:before="320" w:after="120"/>
      </w:pPr>
      <w:r>
        <w:rPr>
          <w:b/>
          <w:color w:val="7A6548"/>
          <w:sz w:val="18"/>
        </w:rPr>
        <w:t>3.4 AGGIUNGERE UNA SEZIONE “DATA COVERAGE &amp; LIMITATIONS”</w:t>
      </w:r>
    </w:p>
    <w:p>
      <w:r>
        <w:t>Il report dichiara già cosa non sostituisce, ma manca una sezione specifica sulla copertura dei dati. Questa sezione è molto utile per clienti pubblici, assicurazioni, concessionari e società di ingegneria.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C49040"/>
            <w:vAlign w:val="center"/>
          </w:tcPr>
          <w:p>
            <w:r/>
            <w:r>
              <w:rPr>
                <w:b/>
                <w:color w:val="15110F"/>
                <w:sz w:val="18"/>
              </w:rPr>
              <w:t>Elemento</w:t>
            </w:r>
          </w:p>
        </w:tc>
        <w:tc>
          <w:tcPr>
            <w:tcW w:type="dxa" w:w="5040"/>
            <w:shd w:fill="C49040"/>
            <w:vAlign w:val="center"/>
          </w:tcPr>
          <w:p>
            <w:r/>
            <w:r>
              <w:rPr>
                <w:b/>
                <w:color w:val="15110F"/>
                <w:sz w:val="18"/>
              </w:rPr>
              <w:t>Contenuto consigliato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Spatial resolution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Province-level screening or custom selected area; not site-specific unless coordinates are provided.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Hazard layers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Public WMS layers used as territorial context, not as detailed local modelling.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Historical records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Based on documented ARCUS collapse events and linked sources.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Missing data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Some events may lack complete technical attributes such as bridge type, material or construction year.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Professional 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Suitable for preliminary screening and prioritisation; requires follow-up technical checks.</w:t>
            </w:r>
          </w:p>
        </w:tc>
      </w:tr>
    </w:tbl>
    <w:p/>
    <w:p>
      <w:pPr>
        <w:spacing w:before="320" w:after="120"/>
      </w:pPr>
      <w:r>
        <w:rPr>
          <w:b/>
          <w:color w:val="7A6548"/>
          <w:sz w:val="18"/>
        </w:rPr>
        <w:t>3.5 MIGLIORARE LE RECOMMENDATIONS</w:t>
      </w:r>
    </w:p>
    <w:p>
      <w:r>
        <w:t>Le raccomandazioni sono corrette, ma possono diventare più operative. Ora sembrano ancora un po’ generali. Conviene trasformarle in “next actions”.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C49040"/>
            <w:vAlign w:val="center"/>
          </w:tcPr>
          <w:p>
            <w:r/>
            <w:r>
              <w:rPr>
                <w:b/>
                <w:color w:val="15110F"/>
                <w:sz w:val="18"/>
              </w:rPr>
              <w:t>Attuale</w:t>
            </w:r>
          </w:p>
        </w:tc>
        <w:tc>
          <w:tcPr>
            <w:tcW w:type="dxa" w:w="5040"/>
            <w:shd w:fill="C49040"/>
            <w:vAlign w:val="center"/>
          </w:tcPr>
          <w:p>
            <w:r/>
            <w:r>
              <w:rPr>
                <w:b/>
                <w:color w:val="15110F"/>
                <w:sz w:val="18"/>
              </w:rPr>
              <w:t>Versione consigliata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Prioritize hydraulic context verification for planned crossings or interventions in Torino.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For any new crossing or bridge intervention in Torino, prioritize a preliminary hydraulic-context review focused on flood exposure, scour-sensitive configurations and nearby historical hydraulic failures.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Compare the planned intervention with documented total collapses and Hydraulic cases in the area.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Compare the planned intervention with the documented total-collapse cases in Ala di Stura, Balme, Chialamberto, Pinerolo and other recurrent hydraulic clusters.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Cross-check triggered cases with hydraulic WMS, landslide WMS and seismic context before setting technical priorities.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Use the public WMS layers as first-level territorial screening, then commission site-specific hydraulic/geotechnical checks where the historical precedent density is high.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Evidence base is suitable for preliminary professional screening...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Use this report as a source-backed screening package for early design meetings, due diligence documentation or technical investigation planning.</w:t>
            </w:r>
          </w:p>
        </w:tc>
      </w:tr>
    </w:tbl>
    <w:p/>
    <w:p>
      <w:pPr>
        <w:spacing w:before="360" w:after="160"/>
      </w:pPr>
      <w:r>
        <w:rPr>
          <w:b/>
          <w:color w:val="15110F"/>
          <w:sz w:val="32"/>
        </w:rPr>
        <w:t>4. Struttura consigliata per la versione definitiva del report</w:t>
      </w:r>
    </w:p>
    <w:p>
      <w:pPr>
        <w:pStyle w:val="ListNumber"/>
        <w:spacing w:after="40"/>
      </w:pPr>
      <w:r>
        <w:rPr>
          <w:sz w:val="20"/>
        </w:rPr>
        <w:t>Cover: ARCUS, Path 01, Territory Briefing, area, date.</w:t>
      </w:r>
    </w:p>
    <w:p>
      <w:pPr>
        <w:pStyle w:val="ListNumber"/>
        <w:spacing w:after="40"/>
      </w:pPr>
      <w:r>
        <w:rPr>
          <w:sz w:val="20"/>
        </w:rPr>
        <w:t>Executive Summary: 3 righe + 3 key findings.</w:t>
      </w:r>
    </w:p>
    <w:p>
      <w:pPr>
        <w:pStyle w:val="ListNumber"/>
        <w:spacing w:after="40"/>
      </w:pPr>
      <w:r>
        <w:rPr>
          <w:sz w:val="20"/>
        </w:rPr>
        <w:t>Selected Area &amp; Project Context: selection type, area, provinces, project context, generated date.</w:t>
      </w:r>
    </w:p>
    <w:p>
      <w:pPr>
        <w:pStyle w:val="ListNumber"/>
        <w:spacing w:after="40"/>
      </w:pPr>
      <w:r>
        <w:rPr>
          <w:sz w:val="20"/>
        </w:rPr>
        <w:t>How to Read This Report: cosa fa e cosa non fa ARCUS.</w:t>
      </w:r>
    </w:p>
    <w:p>
      <w:pPr>
        <w:pStyle w:val="ListNumber"/>
        <w:spacing w:after="40"/>
      </w:pPr>
      <w:r>
        <w:rPr>
          <w:sz w:val="20"/>
        </w:rPr>
        <w:t>Key Indicators: value, class, driver.</w:t>
      </w:r>
    </w:p>
    <w:p>
      <w:pPr>
        <w:pStyle w:val="ListNumber"/>
        <w:spacing w:after="40"/>
      </w:pPr>
      <w:r>
        <w:rPr>
          <w:sz w:val="20"/>
        </w:rPr>
        <w:t>Hazard Context: tabella + interpretazione.</w:t>
      </w:r>
    </w:p>
    <w:p>
      <w:pPr>
        <w:pStyle w:val="ListNumber"/>
        <w:spacing w:after="40"/>
      </w:pPr>
      <w:r>
        <w:rPr>
          <w:sz w:val="20"/>
        </w:rPr>
        <w:t>Historical Evidence: cause distribution + severity + triggered share, se disponibile.</w:t>
      </w:r>
    </w:p>
    <w:p>
      <w:pPr>
        <w:pStyle w:val="ListNumber"/>
        <w:spacing w:after="40"/>
      </w:pPr>
      <w:r>
        <w:rPr>
          <w:sz w:val="20"/>
        </w:rPr>
        <w:t>Priority Events: lista eventi + why flagged.</w:t>
      </w:r>
    </w:p>
    <w:p>
      <w:pPr>
        <w:pStyle w:val="ListNumber"/>
        <w:spacing w:after="40"/>
      </w:pPr>
      <w:r>
        <w:rPr>
          <w:sz w:val="20"/>
        </w:rPr>
        <w:t>Comparable Precedents: similarity scomposta + spiegazione.</w:t>
      </w:r>
    </w:p>
    <w:p>
      <w:pPr>
        <w:pStyle w:val="ListNumber"/>
        <w:spacing w:after="40"/>
      </w:pPr>
      <w:r>
        <w:rPr>
          <w:sz w:val="20"/>
        </w:rPr>
        <w:t>Interpretation: cosa significa per il nuovo intervento.</w:t>
      </w:r>
    </w:p>
    <w:p>
      <w:pPr>
        <w:pStyle w:val="ListNumber"/>
        <w:spacing w:after="40"/>
      </w:pPr>
      <w:r>
        <w:rPr>
          <w:sz w:val="20"/>
        </w:rPr>
        <w:t>Decision Use: can support / should not be used as.</w:t>
      </w:r>
    </w:p>
    <w:p>
      <w:pPr>
        <w:pStyle w:val="ListNumber"/>
        <w:spacing w:after="40"/>
      </w:pPr>
      <w:r>
        <w:rPr>
          <w:sz w:val="20"/>
        </w:rPr>
        <w:t>Recommendations: next actions specifiche.</w:t>
      </w:r>
    </w:p>
    <w:p>
      <w:pPr>
        <w:pStyle w:val="ListNumber"/>
        <w:spacing w:after="40"/>
      </w:pPr>
      <w:r>
        <w:rPr>
          <w:sz w:val="20"/>
        </w:rPr>
        <w:t>National Benchmark: tabella + interpretazione.</w:t>
      </w:r>
    </w:p>
    <w:p>
      <w:pPr>
        <w:pStyle w:val="ListNumber"/>
        <w:spacing w:after="40"/>
      </w:pPr>
      <w:r>
        <w:rPr>
          <w:sz w:val="20"/>
        </w:rPr>
        <w:t>Data Coverage &amp; Limitations: copertura, limiti e cautele.</w:t>
      </w:r>
    </w:p>
    <w:p>
      <w:pPr>
        <w:pStyle w:val="ListNumber"/>
        <w:spacing w:after="40"/>
      </w:pPr>
      <w:r>
        <w:rPr>
          <w:sz w:val="20"/>
        </w:rPr>
        <w:t>Methodology Snapshot: logica sintetica.</w:t>
      </w:r>
    </w:p>
    <w:p>
      <w:pPr>
        <w:pStyle w:val="ListNumber"/>
        <w:spacing w:after="40"/>
      </w:pPr>
      <w:r>
        <w:rPr>
          <w:sz w:val="20"/>
        </w:rPr>
        <w:t>Score and Class Legend: classi e lettura.</w:t>
      </w:r>
    </w:p>
    <w:p>
      <w:pPr>
        <w:pStyle w:val="ListNumber"/>
        <w:spacing w:after="40"/>
      </w:pPr>
      <w:r>
        <w:rPr>
          <w:sz w:val="20"/>
        </w:rPr>
        <w:t>Source Appendix: fonti principali + link al full export.</w:t>
      </w:r>
    </w:p>
    <w:p>
      <w:pPr>
        <w:spacing w:before="360" w:after="160"/>
      </w:pPr>
      <w:r>
        <w:rPr>
          <w:b/>
          <w:color w:val="15110F"/>
          <w:sz w:val="32"/>
        </w:rPr>
        <w:t>5. Istruzioni operative per implementazione lato codice</w:t>
      </w:r>
    </w:p>
    <w:p>
      <w:pPr>
        <w:spacing w:before="320" w:after="120"/>
      </w:pPr>
      <w:r>
        <w:rPr>
          <w:b/>
          <w:color w:val="7A6548"/>
          <w:sz w:val="18"/>
        </w:rPr>
        <w:t>5.1 FUNZIONE KPI FORMATTER</w:t>
      </w:r>
    </w:p>
    <w:p>
      <w:r>
        <w:t>Centralizzare la costruzione dei KPI per evitare testi ripetitivi o incoerenti.</w:t>
      </w:r>
    </w:p>
    <w:p>
      <w:r>
        <w:rPr>
          <w:rFonts w:ascii="Consolas" w:hAnsi="Consolas"/>
          <w:sz w:val="16"/>
        </w:rPr>
        <w:t>const formatKpi = ({ label, value, outOf = 100, level, driver }) =&gt; ({</w:t>
        <w:br/>
        <w:t xml:space="preserve">  label,</w:t>
        <w:br/>
        <w:t xml:space="preserve">  value: `${value} / ${outOf}`,</w:t>
        <w:br/>
        <w:t xml:space="preserve">  level,</w:t>
        <w:br/>
        <w:t xml:space="preserve">  driver,</w:t>
        <w:br/>
        <w:t>});</w:t>
      </w:r>
    </w:p>
    <w:p>
      <w:pPr>
        <w:spacing w:before="320" w:after="120"/>
      </w:pPr>
      <w:r>
        <w:rPr>
          <w:b/>
          <w:color w:val="7A6548"/>
          <w:sz w:val="18"/>
        </w:rPr>
        <w:t>5.2 GENERARE INTERPRETAZIONI AUTOMATICHE</w:t>
      </w:r>
    </w:p>
    <w:p>
      <w:r>
        <w:rPr>
          <w:rFonts w:ascii="Consolas" w:hAnsi="Consolas"/>
          <w:sz w:val="16"/>
        </w:rPr>
        <w:t>function buildHazardInterpretation(hazardRows) {</w:t>
        <w:br/>
        <w:t xml:space="preserve">  const dominant = hazardRows.sort((a, b) =&gt; b.share - a.share)[0];</w:t>
        <w:br/>
        <w:t xml:space="preserve">  if (!dominant) return 'No reliable hazard interpretation available.';</w:t>
        <w:br/>
        <w:t xml:space="preserve">  return `The selected area is mainly driven by ${dominant.layer.toLowerCase()}, with ${dominant.matched} matched collapses (${dominant.share}%).`;</w:t>
        <w:br/>
        <w:t>}</w:t>
      </w:r>
    </w:p>
    <w:p>
      <w:pPr>
        <w:spacing w:before="320" w:after="120"/>
      </w:pPr>
      <w:r>
        <w:rPr>
          <w:b/>
          <w:color w:val="7A6548"/>
          <w:sz w:val="18"/>
        </w:rPr>
        <w:t>5.3 DEDUPLICARE LE FONTI</w:t>
      </w:r>
    </w:p>
    <w:p>
      <w:r>
        <w:rPr>
          <w:rFonts w:ascii="Consolas" w:hAnsi="Consolas"/>
          <w:sz w:val="16"/>
        </w:rPr>
        <w:t>const uniqueSources = Array.from(</w:t>
        <w:br/>
        <w:t xml:space="preserve">  new Map(sources.map(s =&gt; [s.source_url || s.source_title, s])).values()</w:t>
        <w:br/>
        <w:t>);</w:t>
      </w:r>
    </w:p>
    <w:p>
      <w:pPr>
        <w:spacing w:before="360" w:after="160"/>
      </w:pPr>
      <w:r>
        <w:rPr>
          <w:b/>
          <w:color w:val="15110F"/>
          <w:sz w:val="32"/>
        </w:rPr>
        <w:t>6. Priorità di miglioramento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49040"/>
            <w:vAlign w:val="center"/>
          </w:tcPr>
          <w:p>
            <w:r/>
            <w:r>
              <w:rPr>
                <w:b/>
                <w:color w:val="15110F"/>
                <w:sz w:val="18"/>
              </w:rPr>
              <w:t>Priorità</w:t>
            </w:r>
          </w:p>
        </w:tc>
        <w:tc>
          <w:tcPr>
            <w:tcW w:type="dxa" w:w="3360"/>
            <w:shd w:fill="C49040"/>
            <w:vAlign w:val="center"/>
          </w:tcPr>
          <w:p>
            <w:r/>
            <w:r>
              <w:rPr>
                <w:b/>
                <w:color w:val="15110F"/>
                <w:sz w:val="18"/>
              </w:rPr>
              <w:t>Intervento</w:t>
            </w:r>
          </w:p>
        </w:tc>
        <w:tc>
          <w:tcPr>
            <w:tcW w:type="dxa" w:w="3360"/>
            <w:shd w:fill="C49040"/>
            <w:vAlign w:val="center"/>
          </w:tcPr>
          <w:p>
            <w:r/>
            <w:r>
              <w:rPr>
                <w:b/>
                <w:color w:val="15110F"/>
                <w:sz w:val="18"/>
              </w:rPr>
              <w:t>Motivo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Aggiungere frasi interpretative dopo ogni tabella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Trasforma il report da tabellare a decision-support.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Rendere KPI value + class + driver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Aumenta leggibilità e riduce ambiguità.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Compatta e deduplica Source Appendix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Evita report troppo lunghi e ripetitivi.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Aggiungere Data Coverage &amp; Limitations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Rende il report più solido per clienti istituzionali.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Rendere Recommendations più operative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Aiuta il cliente a capire il prossimo passo tecnico.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Valutare miniature mappe / screenshots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Aumenta immediatezza visiva del report esportato.</w:t>
            </w:r>
          </w:p>
        </w:tc>
      </w:tr>
    </w:tbl>
    <w:p/>
    <w:p>
      <w:pPr>
        <w:spacing w:before="360" w:after="160"/>
      </w:pPr>
      <w:r>
        <w:rPr>
          <w:b/>
          <w:color w:val="15110F"/>
          <w:sz w:val="32"/>
        </w:rPr>
        <w:t>7. Conclusione</w:t>
      </w:r>
    </w:p>
    <w:p>
      <w:r>
        <w:t>Il nuovo export Path 01 è già vicino a un output Professional utilizzabile: è chiaro, più solido, con disclaimer corretti, fonti tracciabili e logica di priorità più spiegabile. Il salto successivo non è aggiungere più dati, ma aumentare interpretazione, sintesi e qualità decisionale. Ogni tabella deve rispondere implicitamente a tre domande: cosa sto guardando, perché conta, cosa dovrei fare dopo.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6548"/>
        <w:sz w:val="16"/>
      </w:rPr>
      <w:t>ARCUS Professional - Path 01 Report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C171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