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49040"/>
          <w:sz w:val="60"/>
        </w:rPr>
        <w:t>ARCUS</w:t>
      </w:r>
    </w:p>
    <w:p>
      <w:pPr>
        <w:jc w:val="center"/>
      </w:pPr>
      <w:r>
        <w:rPr>
          <w:b/>
          <w:color w:val="1C1713"/>
          <w:sz w:val="40"/>
        </w:rPr>
        <w:t>Path 01 Territory Briefing - Further Improvement Report</w:t>
      </w:r>
    </w:p>
    <w:p>
      <w:pPr>
        <w:jc w:val="center"/>
      </w:pPr>
      <w:r>
        <w:rPr>
          <w:i/>
        </w:rPr>
        <w:t>Review of the improved Path 01 report output and recommendations for professional-grade refinement.</w:t>
      </w:r>
    </w:p>
    <w:p>
      <w:pPr>
        <w:pStyle w:val="Heading1"/>
      </w:pPr>
      <w:r>
        <w:t>1. General Assessment</w:t>
      </w:r>
    </w:p>
    <w:p>
      <w:r>
        <w:t>The updated Path 01 Territory Briefing is significantly stronger than the previous version. It now includes an Executive Summary, selected area definition, a “How to read this report” section, explained KPIs, interpretation, recommendations, methodology and a score legend. This makes the output feel much more like a professional briefing rather than a simple map export.</w:t>
      </w:r>
    </w:p>
    <w:p>
      <w:r>
        <w:t>The current structure already supports a clear professional reading: the client can understand the selected area, the number of ARCUS events, the dominant mechanism, the evidence quality, the limitations and the suggested follow-up actions.</w:t>
      </w:r>
    </w:p>
    <w:p>
      <w:pPr>
        <w:pStyle w:val="Heading1"/>
      </w:pPr>
      <w:r>
        <w:t>2. What Works Well</w:t>
      </w:r>
    </w:p>
    <w:p>
      <w:pPr>
        <w:pStyle w:val="ListBullet"/>
      </w:pPr>
      <w:r>
        <w:t>The report clearly identifies the operational path: PATH 01 - New Territory.</w:t>
      </w:r>
    </w:p>
    <w:p>
      <w:pPr>
        <w:pStyle w:val="ListBullet"/>
      </w:pPr>
      <w:r>
        <w:t>The selected area and project context are now explicitly documented.</w:t>
      </w:r>
    </w:p>
    <w:p>
      <w:pPr>
        <w:pStyle w:val="ListBullet"/>
      </w:pPr>
      <w:r>
        <w:t>The disclaimer is clear: the report is not a structural safety certification.</w:t>
      </w:r>
    </w:p>
    <w:p>
      <w:pPr>
        <w:pStyle w:val="ListBullet"/>
      </w:pPr>
      <w:r>
        <w:t>The KPI section is more readable because each metric includes a short interpretation.</w:t>
      </w:r>
    </w:p>
    <w:p>
      <w:pPr>
        <w:pStyle w:val="ListBullet"/>
      </w:pPr>
      <w:r>
        <w:t>The report now contains methodology and scoring legend sections, which improve credibility.</w:t>
      </w:r>
    </w:p>
    <w:p>
      <w:pPr>
        <w:pStyle w:val="ListBullet"/>
      </w:pPr>
      <w:r>
        <w:t>The structure is closer to a professional screening document suitable for preliminary discussion.</w:t>
      </w:r>
    </w:p>
    <w:p>
      <w:pPr>
        <w:pStyle w:val="Heading1"/>
      </w:pPr>
      <w:r>
        <w:t>3. Current Structure - Positive Direction</w:t>
      </w:r>
    </w:p>
    <w:tbl>
      <w:tblPr>
        <w:tblStyle w:val="TableGrid"/>
        <w:tblW w:type="auto" w:w="0"/>
        <w:jc w:val="center"/>
        <w:tblLook w:firstColumn="1" w:firstRow="1" w:lastColumn="0" w:lastRow="0" w:noHBand="0" w:noVBand="1" w:val="04A0"/>
      </w:tblPr>
      <w:tblGrid>
        <w:gridCol w:w="5040"/>
        <w:gridCol w:w="5040"/>
      </w:tblGrid>
      <w:tr>
        <w:tc>
          <w:tcPr>
            <w:tcW w:type="dxa" w:w="5040"/>
            <w:shd w:fill="C49040"/>
            <w:vAlign w:val="top"/>
          </w:tcPr>
          <w:p>
            <w:r/>
            <w:r>
              <w:rPr>
                <w:b/>
                <w:color w:val="15110F"/>
                <w:sz w:val="18"/>
              </w:rPr>
              <w:t>Section</w:t>
            </w:r>
          </w:p>
        </w:tc>
        <w:tc>
          <w:tcPr>
            <w:tcW w:type="dxa" w:w="5040"/>
            <w:shd w:fill="C49040"/>
            <w:vAlign w:val="top"/>
          </w:tcPr>
          <w:p>
            <w:r/>
            <w:r>
              <w:rPr>
                <w:b/>
                <w:color w:val="15110F"/>
                <w:sz w:val="18"/>
              </w:rPr>
              <w:t>Assessment</w:t>
            </w:r>
          </w:p>
        </w:tc>
      </w:tr>
      <w:tr>
        <w:tc>
          <w:tcPr>
            <w:tcW w:type="dxa" w:w="5040"/>
            <w:vAlign w:val="top"/>
          </w:tcPr>
          <w:p>
            <w:r/>
            <w:r>
              <w:rPr>
                <w:b w:val="0"/>
                <w:sz w:val="18"/>
              </w:rPr>
              <w:t>Executive Summary</w:t>
            </w:r>
          </w:p>
        </w:tc>
        <w:tc>
          <w:tcPr>
            <w:tcW w:type="dxa" w:w="5040"/>
            <w:vAlign w:val="top"/>
          </w:tcPr>
          <w:p>
            <w:r/>
            <w:r>
              <w:rPr>
                <w:b w:val="0"/>
                <w:sz w:val="18"/>
              </w:rPr>
              <w:t>Correct section to include; should become sharper and more decision-oriented.</w:t>
            </w:r>
          </w:p>
        </w:tc>
      </w:tr>
      <w:tr>
        <w:tc>
          <w:tcPr>
            <w:tcW w:type="dxa" w:w="5040"/>
            <w:vAlign w:val="top"/>
          </w:tcPr>
          <w:p>
            <w:r/>
            <w:r>
              <w:rPr>
                <w:b w:val="0"/>
                <w:sz w:val="18"/>
              </w:rPr>
              <w:t>Selected Area &amp; Project Context</w:t>
            </w:r>
          </w:p>
        </w:tc>
        <w:tc>
          <w:tcPr>
            <w:tcW w:type="dxa" w:w="5040"/>
            <w:vAlign w:val="top"/>
          </w:tcPr>
          <w:p>
            <w:r/>
            <w:r>
              <w:rPr>
                <w:b w:val="0"/>
                <w:sz w:val="18"/>
              </w:rPr>
              <w:t>Important for traceability and reproducibility.</w:t>
            </w:r>
          </w:p>
        </w:tc>
      </w:tr>
      <w:tr>
        <w:tc>
          <w:tcPr>
            <w:tcW w:type="dxa" w:w="5040"/>
            <w:vAlign w:val="top"/>
          </w:tcPr>
          <w:p>
            <w:r/>
            <w:r>
              <w:rPr>
                <w:b w:val="0"/>
                <w:sz w:val="18"/>
              </w:rPr>
              <w:t>How to Read This Report</w:t>
            </w:r>
          </w:p>
        </w:tc>
        <w:tc>
          <w:tcPr>
            <w:tcW w:type="dxa" w:w="5040"/>
            <w:vAlign w:val="top"/>
          </w:tcPr>
          <w:p>
            <w:r/>
            <w:r>
              <w:rPr>
                <w:b w:val="0"/>
                <w:sz w:val="18"/>
              </w:rPr>
              <w:t>Essential for clarifying scope and limitations.</w:t>
            </w:r>
          </w:p>
        </w:tc>
      </w:tr>
      <w:tr>
        <w:tc>
          <w:tcPr>
            <w:tcW w:type="dxa" w:w="5040"/>
            <w:vAlign w:val="top"/>
          </w:tcPr>
          <w:p>
            <w:r/>
            <w:r>
              <w:rPr>
                <w:b w:val="0"/>
                <w:sz w:val="18"/>
              </w:rPr>
              <w:t>Key Indicators</w:t>
            </w:r>
          </w:p>
        </w:tc>
        <w:tc>
          <w:tcPr>
            <w:tcW w:type="dxa" w:w="5040"/>
            <w:vAlign w:val="top"/>
          </w:tcPr>
          <w:p>
            <w:r/>
            <w:r>
              <w:rPr>
                <w:b w:val="0"/>
                <w:sz w:val="18"/>
              </w:rPr>
              <w:t>Good but should include value, class and main driver consistently.</w:t>
            </w:r>
          </w:p>
        </w:tc>
      </w:tr>
      <w:tr>
        <w:tc>
          <w:tcPr>
            <w:tcW w:type="dxa" w:w="5040"/>
            <w:vAlign w:val="top"/>
          </w:tcPr>
          <w:p>
            <w:r/>
            <w:r>
              <w:rPr>
                <w:b w:val="0"/>
                <w:sz w:val="18"/>
              </w:rPr>
              <w:t>Hazard Context</w:t>
            </w:r>
          </w:p>
        </w:tc>
        <w:tc>
          <w:tcPr>
            <w:tcW w:type="dxa" w:w="5040"/>
            <w:vAlign w:val="top"/>
          </w:tcPr>
          <w:p>
            <w:r/>
            <w:r>
              <w:rPr>
                <w:b w:val="0"/>
                <w:sz w:val="18"/>
              </w:rPr>
              <w:t>Useful, but one layer name remains too ambiguous.</w:t>
            </w:r>
          </w:p>
        </w:tc>
      </w:tr>
      <w:tr>
        <w:tc>
          <w:tcPr>
            <w:tcW w:type="dxa" w:w="5040"/>
            <w:vAlign w:val="top"/>
          </w:tcPr>
          <w:p>
            <w:r/>
            <w:r>
              <w:rPr>
                <w:b w:val="0"/>
                <w:sz w:val="18"/>
              </w:rPr>
              <w:t>Historical Evidence</w:t>
            </w:r>
          </w:p>
        </w:tc>
        <w:tc>
          <w:tcPr>
            <w:tcW w:type="dxa" w:w="5040"/>
            <w:vAlign w:val="top"/>
          </w:tcPr>
          <w:p>
            <w:r/>
            <w:r>
              <w:rPr>
                <w:b w:val="0"/>
                <w:sz w:val="18"/>
              </w:rPr>
              <w:t>Still has an important inconsistency to fix.</w:t>
            </w:r>
          </w:p>
        </w:tc>
      </w:tr>
      <w:tr>
        <w:tc>
          <w:tcPr>
            <w:tcW w:type="dxa" w:w="5040"/>
            <w:vAlign w:val="top"/>
          </w:tcPr>
          <w:p>
            <w:r/>
            <w:r>
              <w:rPr>
                <w:b w:val="0"/>
                <w:sz w:val="18"/>
              </w:rPr>
              <w:t>Priority Events</w:t>
            </w:r>
          </w:p>
        </w:tc>
        <w:tc>
          <w:tcPr>
            <w:tcW w:type="dxa" w:w="5040"/>
            <w:vAlign w:val="top"/>
          </w:tcPr>
          <w:p>
            <w:r/>
            <w:r>
              <w:rPr>
                <w:b w:val="0"/>
                <w:sz w:val="18"/>
              </w:rPr>
              <w:t>Useful but needs more explanation of why events are flagged.</w:t>
            </w:r>
          </w:p>
        </w:tc>
      </w:tr>
      <w:tr>
        <w:tc>
          <w:tcPr>
            <w:tcW w:type="dxa" w:w="5040"/>
            <w:vAlign w:val="top"/>
          </w:tcPr>
          <w:p>
            <w:r/>
            <w:r>
              <w:rPr>
                <w:b w:val="0"/>
                <w:sz w:val="18"/>
              </w:rPr>
              <w:t>Comparable Precedents</w:t>
            </w:r>
          </w:p>
        </w:tc>
        <w:tc>
          <w:tcPr>
            <w:tcW w:type="dxa" w:w="5040"/>
            <w:vAlign w:val="top"/>
          </w:tcPr>
          <w:p>
            <w:r/>
            <w:r>
              <w:rPr>
                <w:b w:val="0"/>
                <w:sz w:val="18"/>
              </w:rPr>
              <w:t>Important section but scores are still too uniform.</w:t>
            </w:r>
          </w:p>
        </w:tc>
      </w:tr>
      <w:tr>
        <w:tc>
          <w:tcPr>
            <w:tcW w:type="dxa" w:w="5040"/>
            <w:vAlign w:val="top"/>
          </w:tcPr>
          <w:p>
            <w:r/>
            <w:r>
              <w:rPr>
                <w:b w:val="0"/>
                <w:sz w:val="18"/>
              </w:rPr>
              <w:t>Interpretation and Recommendations</w:t>
            </w:r>
          </w:p>
        </w:tc>
        <w:tc>
          <w:tcPr>
            <w:tcW w:type="dxa" w:w="5040"/>
            <w:vAlign w:val="top"/>
          </w:tcPr>
          <w:p>
            <w:r/>
            <w:r>
              <w:rPr>
                <w:b w:val="0"/>
                <w:sz w:val="18"/>
              </w:rPr>
              <w:t>Good direction; can become more operational.</w:t>
            </w:r>
          </w:p>
        </w:tc>
      </w:tr>
      <w:tr>
        <w:tc>
          <w:tcPr>
            <w:tcW w:type="dxa" w:w="5040"/>
            <w:vAlign w:val="top"/>
          </w:tcPr>
          <w:p>
            <w:r/>
            <w:r>
              <w:rPr>
                <w:b w:val="0"/>
                <w:sz w:val="18"/>
              </w:rPr>
              <w:t>National Benchmark</w:t>
            </w:r>
          </w:p>
        </w:tc>
        <w:tc>
          <w:tcPr>
            <w:tcW w:type="dxa" w:w="5040"/>
            <w:vAlign w:val="top"/>
          </w:tcPr>
          <w:p>
            <w:r/>
            <w:r>
              <w:rPr>
                <w:b w:val="0"/>
                <w:sz w:val="18"/>
              </w:rPr>
              <w:t>Useful but needs an interpretive sentence.</w:t>
            </w:r>
          </w:p>
        </w:tc>
      </w:tr>
      <w:tr>
        <w:tc>
          <w:tcPr>
            <w:tcW w:type="dxa" w:w="5040"/>
            <w:vAlign w:val="top"/>
          </w:tcPr>
          <w:p>
            <w:r/>
            <w:r>
              <w:rPr>
                <w:b w:val="0"/>
                <w:sz w:val="18"/>
              </w:rPr>
              <w:t>Methodology and Legend</w:t>
            </w:r>
          </w:p>
        </w:tc>
        <w:tc>
          <w:tcPr>
            <w:tcW w:type="dxa" w:w="5040"/>
            <w:vAlign w:val="top"/>
          </w:tcPr>
          <w:p>
            <w:r/>
            <w:r>
              <w:rPr>
                <w:b w:val="0"/>
                <w:sz w:val="18"/>
              </w:rPr>
              <w:t>Strong addition; should be kept in every Professional report.</w:t>
            </w:r>
          </w:p>
        </w:tc>
      </w:tr>
    </w:tbl>
    <w:p>
      <w:pPr>
        <w:pStyle w:val="Heading1"/>
      </w:pPr>
      <w:r>
        <w:t>4. Improvements Still Needed</w:t>
      </w:r>
    </w:p>
    <w:p>
      <w:pPr>
        <w:pStyle w:val="Heading2"/>
      </w:pPr>
      <w:r>
        <w:t>4.1 Fix encoding errors</w:t>
      </w:r>
    </w:p>
    <w:p>
      <w:r>
        <w:t>The report still displays encoding artifacts such as “â€”” instead of a proper dash. This is a small visual issue but a serious professional-perception problem. It should be fixed immediately.</w:t>
      </w:r>
    </w:p>
    <w:p>
      <w:r>
        <w:t>Implementation guidance:</w:t>
      </w:r>
    </w:p>
    <w:p>
      <w:pPr>
        <w:pStyle w:val="ListBullet"/>
      </w:pPr>
      <w:r>
        <w:t>Ensure the HTML document is saved and served as UTF-8.</w:t>
      </w:r>
    </w:p>
    <w:p>
      <w:pPr>
        <w:pStyle w:val="ListBullet"/>
      </w:pPr>
      <w:r>
        <w:t>Keep &lt;meta charset="UTF-8" /&gt; in the HTML head.</w:t>
      </w:r>
    </w:p>
    <w:p>
      <w:pPr>
        <w:pStyle w:val="ListBullet"/>
      </w:pPr>
      <w:r>
        <w:t>When generating downloadable files, define the Blob type as text/html;charset=utf-8.</w:t>
      </w:r>
    </w:p>
    <w:p>
      <w:pPr>
        <w:pStyle w:val="ListBullet"/>
      </w:pPr>
      <w:r>
        <w:t>If PDF export is generated through the browser, consider using a standard hyphen instead of long dash characters.</w:t>
      </w:r>
    </w:p>
    <w:p>
      <w:pPr>
        <w:pStyle w:val="Heading2"/>
      </w:pPr>
      <w:r>
        <w:t>4.2 Improve the Executive Summary</w:t>
      </w:r>
    </w:p>
    <w:p>
      <w:r>
        <w:t>The Executive Summary is now present, but the wording should become more natural and more decision-oriented. The current phrasing “driven by hydraulic and 42 documented ARCUS precedents” is understandable but not polished.</w:t>
      </w:r>
    </w:p>
    <w:p>
      <w:r>
        <w:t>Recommended wording:</w:t>
      </w:r>
    </w:p>
    <w:p>
      <w:r>
        <w:rPr>
          <w:i/>
        </w:rPr>
        <w:t>The selected territory shows a high infrastructure attention level. This is mainly driven by the high concentration of hydraulic-related historical collapse precedents documented in the ARCUS database. The area includes 42 ARCUS events and 125 documented sources.</w:t>
      </w:r>
    </w:p>
    <w:p>
      <w:r>
        <w:t>Recommended addition:</w:t>
      </w:r>
    </w:p>
    <w:p>
      <w:pPr>
        <w:pStyle w:val="ListBullet"/>
      </w:pPr>
      <w:r>
        <w:t>Hydraulic mechanisms dominate the selected territory.</w:t>
      </w:r>
    </w:p>
    <w:p>
      <w:pPr>
        <w:pStyle w:val="ListBullet"/>
      </w:pPr>
      <w:r>
        <w:t>Triggered events are above the national ARCUS benchmark.</w:t>
      </w:r>
    </w:p>
    <w:p>
      <w:pPr>
        <w:pStyle w:val="ListBullet"/>
      </w:pPr>
      <w:r>
        <w:t>The evidence base is strong and suitable for preliminary professional screening.</w:t>
      </w:r>
    </w:p>
    <w:p>
      <w:pPr>
        <w:pStyle w:val="Heading2"/>
      </w:pPr>
      <w:r>
        <w:t>4.3 Make every KPI follow the same logic</w:t>
      </w:r>
    </w:p>
    <w:p>
      <w:r>
        <w:t>Each KPI should contain three elements: value, class and main driver. This makes the indicators easier to read for decision-makers.</w:t>
      </w:r>
    </w:p>
    <w:tbl>
      <w:tblPr>
        <w:tblStyle w:val="TableGrid"/>
        <w:tblW w:type="auto" w:w="0"/>
        <w:jc w:val="center"/>
        <w:tblLook w:firstColumn="1" w:firstRow="1" w:lastColumn="0" w:lastRow="0" w:noHBand="0" w:noVBand="1" w:val="04A0"/>
      </w:tblPr>
      <w:tblGrid>
        <w:gridCol w:w="5040"/>
        <w:gridCol w:w="5040"/>
      </w:tblGrid>
      <w:tr>
        <w:tc>
          <w:tcPr>
            <w:tcW w:type="dxa" w:w="5040"/>
            <w:shd w:fill="C49040"/>
            <w:vAlign w:val="top"/>
          </w:tcPr>
          <w:p>
            <w:r/>
            <w:r>
              <w:rPr>
                <w:b/>
                <w:color w:val="15110F"/>
                <w:sz w:val="18"/>
              </w:rPr>
              <w:t>KPI Element</w:t>
            </w:r>
          </w:p>
        </w:tc>
        <w:tc>
          <w:tcPr>
            <w:tcW w:type="dxa" w:w="5040"/>
            <w:shd w:fill="C49040"/>
            <w:vAlign w:val="top"/>
          </w:tcPr>
          <w:p>
            <w:r/>
            <w:r>
              <w:rPr>
                <w:b/>
                <w:color w:val="15110F"/>
                <w:sz w:val="18"/>
              </w:rPr>
              <w:t>Purpose</w:t>
            </w:r>
          </w:p>
        </w:tc>
      </w:tr>
      <w:tr>
        <w:tc>
          <w:tcPr>
            <w:tcW w:type="dxa" w:w="5040"/>
            <w:vAlign w:val="top"/>
          </w:tcPr>
          <w:p>
            <w:r/>
            <w:r>
              <w:rPr>
                <w:b w:val="0"/>
                <w:sz w:val="18"/>
              </w:rPr>
              <w:t>Value</w:t>
            </w:r>
          </w:p>
        </w:tc>
        <w:tc>
          <w:tcPr>
            <w:tcW w:type="dxa" w:w="5040"/>
            <w:vAlign w:val="top"/>
          </w:tcPr>
          <w:p>
            <w:r/>
            <w:r>
              <w:rPr>
                <w:b w:val="0"/>
                <w:sz w:val="18"/>
              </w:rPr>
              <w:t>The numerical score or count.</w:t>
            </w:r>
          </w:p>
        </w:tc>
      </w:tr>
      <w:tr>
        <w:tc>
          <w:tcPr>
            <w:tcW w:type="dxa" w:w="5040"/>
            <w:vAlign w:val="top"/>
          </w:tcPr>
          <w:p>
            <w:r/>
            <w:r>
              <w:rPr>
                <w:b w:val="0"/>
                <w:sz w:val="18"/>
              </w:rPr>
              <w:t>Class</w:t>
            </w:r>
          </w:p>
        </w:tc>
        <w:tc>
          <w:tcPr>
            <w:tcW w:type="dxa" w:w="5040"/>
            <w:vAlign w:val="top"/>
          </w:tcPr>
          <w:p>
            <w:r/>
            <w:r>
              <w:rPr>
                <w:b w:val="0"/>
                <w:sz w:val="18"/>
              </w:rPr>
              <w:t>The qualitative interpretation: Low, Medium, High, Critical, Very High.</w:t>
            </w:r>
          </w:p>
        </w:tc>
      </w:tr>
      <w:tr>
        <w:tc>
          <w:tcPr>
            <w:tcW w:type="dxa" w:w="5040"/>
            <w:vAlign w:val="top"/>
          </w:tcPr>
          <w:p>
            <w:r/>
            <w:r>
              <w:rPr>
                <w:b w:val="0"/>
                <w:sz w:val="18"/>
              </w:rPr>
              <w:t>Main driver</w:t>
            </w:r>
          </w:p>
        </w:tc>
        <w:tc>
          <w:tcPr>
            <w:tcW w:type="dxa" w:w="5040"/>
            <w:vAlign w:val="top"/>
          </w:tcPr>
          <w:p>
            <w:r/>
            <w:r>
              <w:rPr>
                <w:b w:val="0"/>
                <w:sz w:val="18"/>
              </w:rPr>
              <w:t>The short reason why the score is high or low.</w:t>
            </w:r>
          </w:p>
        </w:tc>
      </w:tr>
    </w:tbl>
    <w:p>
      <w:r>
        <w:t>Example:</w:t>
      </w:r>
    </w:p>
    <w:tbl>
      <w:tblPr>
        <w:tblStyle w:val="TableGrid"/>
        <w:tblW w:type="auto" w:w="0"/>
        <w:jc w:val="center"/>
        <w:tblLook w:firstColumn="1" w:firstRow="1" w:lastColumn="0" w:lastRow="0" w:noHBand="0" w:noVBand="1" w:val="04A0"/>
      </w:tblPr>
      <w:tblGrid>
        <w:gridCol w:w="5040"/>
        <w:gridCol w:w="5040"/>
      </w:tblGrid>
      <w:tr>
        <w:tc>
          <w:tcPr>
            <w:tcW w:type="dxa" w:w="5040"/>
            <w:shd w:fill="C49040"/>
            <w:vAlign w:val="top"/>
          </w:tcPr>
          <w:p>
            <w:r/>
            <w:r>
              <w:rPr>
                <w:b/>
                <w:color w:val="15110F"/>
                <w:sz w:val="18"/>
              </w:rPr>
              <w:t>KPI</w:t>
            </w:r>
          </w:p>
        </w:tc>
        <w:tc>
          <w:tcPr>
            <w:tcW w:type="dxa" w:w="5040"/>
            <w:shd w:fill="C49040"/>
            <w:vAlign w:val="top"/>
          </w:tcPr>
          <w:p>
            <w:r/>
            <w:r>
              <w:rPr>
                <w:b/>
                <w:color w:val="15110F"/>
                <w:sz w:val="18"/>
              </w:rPr>
              <w:t>Recommended format</w:t>
            </w:r>
          </w:p>
        </w:tc>
      </w:tr>
      <w:tr>
        <w:tc>
          <w:tcPr>
            <w:tcW w:type="dxa" w:w="5040"/>
            <w:vAlign w:val="top"/>
          </w:tcPr>
          <w:p>
            <w:r/>
            <w:r>
              <w:rPr>
                <w:b w:val="0"/>
                <w:sz w:val="18"/>
              </w:rPr>
              <w:t>Priority Index</w:t>
            </w:r>
          </w:p>
        </w:tc>
        <w:tc>
          <w:tcPr>
            <w:tcW w:type="dxa" w:w="5040"/>
            <w:vAlign w:val="top"/>
          </w:tcPr>
          <w:p>
            <w:r/>
            <w:r>
              <w:rPr>
                <w:b w:val="0"/>
                <w:sz w:val="18"/>
              </w:rPr>
              <w:t>82 / 100 - High attention - Driven by precedent density, hydraulic dominance and triggered-event concentration.</w:t>
            </w:r>
          </w:p>
        </w:tc>
      </w:tr>
      <w:tr>
        <w:tc>
          <w:tcPr>
            <w:tcW w:type="dxa" w:w="5040"/>
            <w:vAlign w:val="top"/>
          </w:tcPr>
          <w:p>
            <w:r/>
            <w:r>
              <w:rPr>
                <w:b w:val="0"/>
                <w:sz w:val="18"/>
              </w:rPr>
              <w:t>Evidence Reliability</w:t>
            </w:r>
          </w:p>
        </w:tc>
        <w:tc>
          <w:tcPr>
            <w:tcW w:type="dxa" w:w="5040"/>
            <w:vAlign w:val="top"/>
          </w:tcPr>
          <w:p>
            <w:r/>
            <w:r>
              <w:rPr>
                <w:b w:val="0"/>
                <w:sz w:val="18"/>
              </w:rPr>
              <w:t>96 / 100 - Very high - Based on 125 documented sources and 98% professional-grade events.</w:t>
            </w:r>
          </w:p>
        </w:tc>
      </w:tr>
      <w:tr>
        <w:tc>
          <w:tcPr>
            <w:tcW w:type="dxa" w:w="5040"/>
            <w:vAlign w:val="top"/>
          </w:tcPr>
          <w:p>
            <w:r/>
            <w:r>
              <w:rPr>
                <w:b w:val="0"/>
                <w:sz w:val="18"/>
              </w:rPr>
              <w:t>Exposure &amp; Evidence Indicator</w:t>
            </w:r>
          </w:p>
        </w:tc>
        <w:tc>
          <w:tcPr>
            <w:tcW w:type="dxa" w:w="5040"/>
            <w:vAlign w:val="top"/>
          </w:tcPr>
          <w:p>
            <w:r/>
            <w:r>
              <w:rPr>
                <w:b w:val="0"/>
                <w:sz w:val="18"/>
              </w:rPr>
              <w:t>72 / 100 - High - Attention indicator, not certified structural vulnerability.</w:t>
            </w:r>
          </w:p>
        </w:tc>
      </w:tr>
    </w:tbl>
    <w:p>
      <w:pPr>
        <w:pStyle w:val="Heading2"/>
      </w:pPr>
      <w:r>
        <w:t>4.4 Correct the Historical Evidence inconsistency</w:t>
      </w:r>
    </w:p>
    <w:p>
      <w:r>
        <w:t>This is the most important remaining issue. The report states that Torino has 42 ARCUS events and that the dominant mechanism is Hydraulic, but the Historical Evidence section says: “No statistically reliable cause distribution available for this selected area.” These two outputs contradict each other.</w:t>
      </w:r>
    </w:p>
    <w:p>
      <w:r>
        <w:t>Likely causes of the bug:</w:t>
      </w:r>
    </w:p>
    <w:p>
      <w:pPr>
        <w:pStyle w:val="ListBullet"/>
      </w:pPr>
      <w:r>
        <w:t>The report generator may be reading the wrong field.</w:t>
      </w:r>
    </w:p>
    <w:p>
      <w:pPr>
        <w:pStyle w:val="ListBullet"/>
      </w:pPr>
      <w:r>
        <w:t>The cause field may not be normalized before aggregation.</w:t>
      </w:r>
    </w:p>
    <w:p>
      <w:pPr>
        <w:pStyle w:val="ListBullet"/>
      </w:pPr>
      <w:r>
        <w:t>The aggregation function may be filtering out valid records.</w:t>
      </w:r>
    </w:p>
    <w:p>
      <w:pPr>
        <w:pStyle w:val="ListBullet"/>
      </w:pPr>
      <w:r>
        <w:t>The cause distribution may be built from a different data object than the hazard summary.</w:t>
      </w:r>
    </w:p>
    <w:p>
      <w:r>
        <w:t>Expected output: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49040"/>
            <w:vAlign w:val="top"/>
          </w:tcPr>
          <w:p>
            <w:r/>
            <w:r>
              <w:rPr>
                <w:b/>
                <w:color w:val="15110F"/>
                <w:sz w:val="18"/>
              </w:rPr>
              <w:t>Cause</w:t>
            </w:r>
          </w:p>
        </w:tc>
        <w:tc>
          <w:tcPr>
            <w:tcW w:type="dxa" w:w="3360"/>
            <w:shd w:fill="C49040"/>
            <w:vAlign w:val="top"/>
          </w:tcPr>
          <w:p>
            <w:r/>
            <w:r>
              <w:rPr>
                <w:b/>
                <w:color w:val="15110F"/>
                <w:sz w:val="18"/>
              </w:rPr>
              <w:t>Occurrences</w:t>
            </w:r>
          </w:p>
        </w:tc>
        <w:tc>
          <w:tcPr>
            <w:tcW w:type="dxa" w:w="3360"/>
            <w:shd w:fill="C49040"/>
            <w:vAlign w:val="top"/>
          </w:tcPr>
          <w:p>
            <w:r/>
            <w:r>
              <w:rPr>
                <w:b/>
                <w:color w:val="15110F"/>
                <w:sz w:val="18"/>
              </w:rPr>
              <w:t>Share</w:t>
            </w:r>
          </w:p>
        </w:tc>
      </w:tr>
      <w:tr>
        <w:tc>
          <w:tcPr>
            <w:tcW w:type="dxa" w:w="3360"/>
            <w:vAlign w:val="top"/>
          </w:tcPr>
          <w:p>
            <w:r/>
            <w:r>
              <w:rPr>
                <w:b w:val="0"/>
                <w:sz w:val="18"/>
              </w:rPr>
              <w:t>Hydraulic</w:t>
            </w:r>
          </w:p>
        </w:tc>
        <w:tc>
          <w:tcPr>
            <w:tcW w:type="dxa" w:w="3360"/>
            <w:vAlign w:val="top"/>
          </w:tcPr>
          <w:p>
            <w:r/>
            <w:r>
              <w:rPr>
                <w:b w:val="0"/>
                <w:sz w:val="18"/>
              </w:rPr>
              <w:t>41</w:t>
            </w:r>
          </w:p>
        </w:tc>
        <w:tc>
          <w:tcPr>
            <w:tcW w:type="dxa" w:w="3360"/>
            <w:vAlign w:val="top"/>
          </w:tcPr>
          <w:p>
            <w:r/>
            <w:r>
              <w:rPr>
                <w:b w:val="0"/>
                <w:sz w:val="18"/>
              </w:rPr>
              <w:t>98%</w:t>
            </w:r>
          </w:p>
        </w:tc>
      </w:tr>
      <w:tr>
        <w:tc>
          <w:tcPr>
            <w:tcW w:type="dxa" w:w="3360"/>
            <w:vAlign w:val="top"/>
          </w:tcPr>
          <w:p>
            <w:r/>
            <w:r>
              <w:rPr>
                <w:b w:val="0"/>
                <w:sz w:val="18"/>
              </w:rPr>
              <w:t>Other / failure precedent context</w:t>
            </w:r>
          </w:p>
        </w:tc>
        <w:tc>
          <w:tcPr>
            <w:tcW w:type="dxa" w:w="3360"/>
            <w:vAlign w:val="top"/>
          </w:tcPr>
          <w:p>
            <w:r/>
            <w:r>
              <w:rPr>
                <w:b w:val="0"/>
                <w:sz w:val="18"/>
              </w:rPr>
              <w:t>1</w:t>
            </w:r>
          </w:p>
        </w:tc>
        <w:tc>
          <w:tcPr>
            <w:tcW w:type="dxa" w:w="3360"/>
            <w:vAlign w:val="top"/>
          </w:tcPr>
          <w:p>
            <w:r/>
            <w:r>
              <w:rPr>
                <w:b w:val="0"/>
                <w:sz w:val="18"/>
              </w:rPr>
              <w:t>2%</w:t>
            </w:r>
          </w:p>
        </w:tc>
      </w:tr>
    </w:tbl>
    <w:p>
      <w:r>
        <w:t>If the distribution is not available, the report should still avoid contradiction and use a safer sentence, for example:</w:t>
      </w:r>
    </w:p>
    <w:p>
      <w:r>
        <w:rPr>
          <w:i/>
        </w:rPr>
        <w:t>Historical cause distribution is dominated by hydraulic-triggered collapse records in the selected territory.</w:t>
      </w:r>
    </w:p>
    <w:p>
      <w:pPr>
        <w:pStyle w:val="Heading2"/>
      </w:pPr>
      <w:r>
        <w:t>4.5 Rename “Structural vulnerability exposure”</w:t>
      </w:r>
    </w:p>
    <w:p>
      <w:r>
        <w:t>The term “Structural vulnerability exposure” is too strong for Path 01 because no real asset inspection or structural verification is being performed. It may be interpreted as a structural vulnerability assessment.</w:t>
      </w:r>
    </w:p>
    <w:p>
      <w:r>
        <w:t>Recommended alternatives:</w:t>
      </w:r>
    </w:p>
    <w:p>
      <w:pPr>
        <w:pStyle w:val="ListBullet"/>
      </w:pPr>
      <w:r>
        <w:t>Historical failure context</w:t>
      </w:r>
    </w:p>
    <w:p>
      <w:pPr>
        <w:pStyle w:val="ListBullet"/>
      </w:pPr>
      <w:r>
        <w:t>Failure precedent exposure</w:t>
      </w:r>
    </w:p>
    <w:p>
      <w:pPr>
        <w:pStyle w:val="ListBullet"/>
      </w:pPr>
      <w:r>
        <w:t>Structural failure precedent context</w:t>
      </w:r>
    </w:p>
    <w:p>
      <w:pPr>
        <w:pStyle w:val="Heading2"/>
      </w:pPr>
      <w:r>
        <w:t>4.6 Make Comparable Precedents more credible</w:t>
      </w:r>
    </w:p>
    <w:p>
      <w:r>
        <w:t>The comparable precedent table still shows several cases with 100/100 similarity. This makes the model appear too rigid and reduces perceived credibility. Professional clients expect differentiation.</w:t>
      </w:r>
    </w:p>
    <w:p>
      <w:r>
        <w:t>Recommended approach:</w:t>
      </w:r>
    </w:p>
    <w:p>
      <w:pPr>
        <w:pStyle w:val="ListBullet"/>
      </w:pPr>
      <w:r>
        <w:t>Avoid repeated 100/100 values except for truly identical reference cases.</w:t>
      </w:r>
    </w:p>
    <w:p>
      <w:pPr>
        <w:pStyle w:val="ListBullet"/>
      </w:pPr>
      <w:r>
        <w:t>Break down similarity into cause, trigger, severity, territorial context, evidence class and hazard overlap.</w:t>
      </w:r>
    </w:p>
    <w:p>
      <w:pPr>
        <w:pStyle w:val="ListBullet"/>
      </w:pPr>
      <w:r>
        <w:t>Use differentiated scores such as 94, 91, 88, 84 and 79.</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C49040"/>
            <w:vAlign w:val="top"/>
          </w:tcPr>
          <w:p>
            <w:r/>
            <w:r>
              <w:rPr>
                <w:b/>
                <w:color w:val="15110F"/>
                <w:sz w:val="18"/>
              </w:rPr>
              <w:t>Similarity</w:t>
            </w:r>
          </w:p>
        </w:tc>
        <w:tc>
          <w:tcPr>
            <w:tcW w:type="dxa" w:w="1680"/>
            <w:shd w:fill="C49040"/>
            <w:vAlign w:val="top"/>
          </w:tcPr>
          <w:p>
            <w:r/>
            <w:r>
              <w:rPr>
                <w:b/>
                <w:color w:val="15110F"/>
                <w:sz w:val="18"/>
              </w:rPr>
              <w:t>Cause</w:t>
            </w:r>
          </w:p>
        </w:tc>
        <w:tc>
          <w:tcPr>
            <w:tcW w:type="dxa" w:w="1680"/>
            <w:shd w:fill="C49040"/>
            <w:vAlign w:val="top"/>
          </w:tcPr>
          <w:p>
            <w:r/>
            <w:r>
              <w:rPr>
                <w:b/>
                <w:color w:val="15110F"/>
                <w:sz w:val="18"/>
              </w:rPr>
              <w:t>Trigger</w:t>
            </w:r>
          </w:p>
        </w:tc>
        <w:tc>
          <w:tcPr>
            <w:tcW w:type="dxa" w:w="1680"/>
            <w:shd w:fill="C49040"/>
            <w:vAlign w:val="top"/>
          </w:tcPr>
          <w:p>
            <w:r/>
            <w:r>
              <w:rPr>
                <w:b/>
                <w:color w:val="15110F"/>
                <w:sz w:val="18"/>
              </w:rPr>
              <w:t>Severity</w:t>
            </w:r>
          </w:p>
        </w:tc>
        <w:tc>
          <w:tcPr>
            <w:tcW w:type="dxa" w:w="1680"/>
            <w:shd w:fill="C49040"/>
            <w:vAlign w:val="top"/>
          </w:tcPr>
          <w:p>
            <w:r/>
            <w:r>
              <w:rPr>
                <w:b/>
                <w:color w:val="15110F"/>
                <w:sz w:val="18"/>
              </w:rPr>
              <w:t>Territorial context</w:t>
            </w:r>
          </w:p>
        </w:tc>
        <w:tc>
          <w:tcPr>
            <w:tcW w:type="dxa" w:w="1680"/>
            <w:shd w:fill="C49040"/>
            <w:vAlign w:val="top"/>
          </w:tcPr>
          <w:p>
            <w:r/>
            <w:r>
              <w:rPr>
                <w:b/>
                <w:color w:val="15110F"/>
                <w:sz w:val="18"/>
              </w:rPr>
              <w:t>Evidence</w:t>
            </w:r>
          </w:p>
        </w:tc>
      </w:tr>
      <w:tr>
        <w:tc>
          <w:tcPr>
            <w:tcW w:type="dxa" w:w="1680"/>
            <w:vAlign w:val="top"/>
          </w:tcPr>
          <w:p>
            <w:r/>
            <w:r>
              <w:rPr>
                <w:b w:val="0"/>
                <w:sz w:val="18"/>
              </w:rPr>
              <w:t>94 / 100</w:t>
            </w:r>
          </w:p>
        </w:tc>
        <w:tc>
          <w:tcPr>
            <w:tcW w:type="dxa" w:w="1680"/>
            <w:vAlign w:val="top"/>
          </w:tcPr>
          <w:p>
            <w:r/>
            <w:r>
              <w:rPr>
                <w:b w:val="0"/>
                <w:sz w:val="18"/>
              </w:rPr>
              <w:t>match</w:t>
            </w:r>
          </w:p>
        </w:tc>
        <w:tc>
          <w:tcPr>
            <w:tcW w:type="dxa" w:w="1680"/>
            <w:vAlign w:val="top"/>
          </w:tcPr>
          <w:p>
            <w:r/>
            <w:r>
              <w:rPr>
                <w:b w:val="0"/>
                <w:sz w:val="18"/>
              </w:rPr>
              <w:t>match</w:t>
            </w:r>
          </w:p>
        </w:tc>
        <w:tc>
          <w:tcPr>
            <w:tcW w:type="dxa" w:w="1680"/>
            <w:vAlign w:val="top"/>
          </w:tcPr>
          <w:p>
            <w:r/>
            <w:r>
              <w:rPr>
                <w:b w:val="0"/>
                <w:sz w:val="18"/>
              </w:rPr>
              <w:t>match</w:t>
            </w:r>
          </w:p>
        </w:tc>
        <w:tc>
          <w:tcPr>
            <w:tcW w:type="dxa" w:w="1680"/>
            <w:vAlign w:val="top"/>
          </w:tcPr>
          <w:p>
            <w:r/>
            <w:r>
              <w:rPr>
                <w:b w:val="0"/>
                <w:sz w:val="18"/>
              </w:rPr>
              <w:t>same province</w:t>
            </w:r>
          </w:p>
        </w:tc>
        <w:tc>
          <w:tcPr>
            <w:tcW w:type="dxa" w:w="1680"/>
            <w:vAlign w:val="top"/>
          </w:tcPr>
          <w:p>
            <w:r/>
            <w:r>
              <w:rPr>
                <w:b w:val="0"/>
                <w:sz w:val="18"/>
              </w:rPr>
              <w:t>A</w:t>
            </w:r>
          </w:p>
        </w:tc>
      </w:tr>
      <w:tr>
        <w:tc>
          <w:tcPr>
            <w:tcW w:type="dxa" w:w="1680"/>
            <w:vAlign w:val="top"/>
          </w:tcPr>
          <w:p>
            <w:r/>
            <w:r>
              <w:rPr>
                <w:b w:val="0"/>
                <w:sz w:val="18"/>
              </w:rPr>
              <w:t>88 / 100</w:t>
            </w:r>
          </w:p>
        </w:tc>
        <w:tc>
          <w:tcPr>
            <w:tcW w:type="dxa" w:w="1680"/>
            <w:vAlign w:val="top"/>
          </w:tcPr>
          <w:p>
            <w:r/>
            <w:r>
              <w:rPr>
                <w:b w:val="0"/>
                <w:sz w:val="18"/>
              </w:rPr>
              <w:t>match</w:t>
            </w:r>
          </w:p>
        </w:tc>
        <w:tc>
          <w:tcPr>
            <w:tcW w:type="dxa" w:w="1680"/>
            <w:vAlign w:val="top"/>
          </w:tcPr>
          <w:p>
            <w:r/>
            <w:r>
              <w:rPr>
                <w:b w:val="0"/>
                <w:sz w:val="18"/>
              </w:rPr>
              <w:t>match</w:t>
            </w:r>
          </w:p>
        </w:tc>
        <w:tc>
          <w:tcPr>
            <w:tcW w:type="dxa" w:w="1680"/>
            <w:vAlign w:val="top"/>
          </w:tcPr>
          <w:p>
            <w:r/>
            <w:r>
              <w:rPr>
                <w:b w:val="0"/>
                <w:sz w:val="18"/>
              </w:rPr>
              <w:t>match</w:t>
            </w:r>
          </w:p>
        </w:tc>
        <w:tc>
          <w:tcPr>
            <w:tcW w:type="dxa" w:w="1680"/>
            <w:vAlign w:val="top"/>
          </w:tcPr>
          <w:p>
            <w:r/>
            <w:r>
              <w:rPr>
                <w:b w:val="0"/>
                <w:sz w:val="18"/>
              </w:rPr>
              <w:t>similar context</w:t>
            </w:r>
          </w:p>
        </w:tc>
        <w:tc>
          <w:tcPr>
            <w:tcW w:type="dxa" w:w="1680"/>
            <w:vAlign w:val="top"/>
          </w:tcPr>
          <w:p>
            <w:r/>
            <w:r>
              <w:rPr>
                <w:b w:val="0"/>
                <w:sz w:val="18"/>
              </w:rPr>
              <w:t>A</w:t>
            </w:r>
          </w:p>
        </w:tc>
      </w:tr>
      <w:tr>
        <w:tc>
          <w:tcPr>
            <w:tcW w:type="dxa" w:w="1680"/>
            <w:vAlign w:val="top"/>
          </w:tcPr>
          <w:p>
            <w:r/>
            <w:r>
              <w:rPr>
                <w:b w:val="0"/>
                <w:sz w:val="18"/>
              </w:rPr>
              <w:t>79 / 100</w:t>
            </w:r>
          </w:p>
        </w:tc>
        <w:tc>
          <w:tcPr>
            <w:tcW w:type="dxa" w:w="1680"/>
            <w:vAlign w:val="top"/>
          </w:tcPr>
          <w:p>
            <w:r/>
            <w:r>
              <w:rPr>
                <w:b w:val="0"/>
                <w:sz w:val="18"/>
              </w:rPr>
              <w:t>same family</w:t>
            </w:r>
          </w:p>
        </w:tc>
        <w:tc>
          <w:tcPr>
            <w:tcW w:type="dxa" w:w="1680"/>
            <w:vAlign w:val="top"/>
          </w:tcPr>
          <w:p>
            <w:r/>
            <w:r>
              <w:rPr>
                <w:b w:val="0"/>
                <w:sz w:val="18"/>
              </w:rPr>
              <w:t>partial match</w:t>
            </w:r>
          </w:p>
        </w:tc>
        <w:tc>
          <w:tcPr>
            <w:tcW w:type="dxa" w:w="1680"/>
            <w:vAlign w:val="top"/>
          </w:tcPr>
          <w:p>
            <w:r/>
            <w:r>
              <w:rPr>
                <w:b w:val="0"/>
                <w:sz w:val="18"/>
              </w:rPr>
              <w:t>match</w:t>
            </w:r>
          </w:p>
        </w:tc>
        <w:tc>
          <w:tcPr>
            <w:tcW w:type="dxa" w:w="1680"/>
            <w:vAlign w:val="top"/>
          </w:tcPr>
          <w:p>
            <w:r/>
            <w:r>
              <w:rPr>
                <w:b w:val="0"/>
                <w:sz w:val="18"/>
              </w:rPr>
              <w:t>different territory</w:t>
            </w:r>
          </w:p>
        </w:tc>
        <w:tc>
          <w:tcPr>
            <w:tcW w:type="dxa" w:w="1680"/>
            <w:vAlign w:val="top"/>
          </w:tcPr>
          <w:p>
            <w:r/>
            <w:r>
              <w:rPr>
                <w:b w:val="0"/>
                <w:sz w:val="18"/>
              </w:rPr>
              <w:t>B</w:t>
            </w:r>
          </w:p>
        </w:tc>
      </w:tr>
    </w:tbl>
    <w:p>
      <w:pPr>
        <w:pStyle w:val="Heading2"/>
      </w:pPr>
      <w:r>
        <w:t>4.7 Add “Why flagged” to Priority Events</w:t>
      </w:r>
    </w:p>
    <w:p>
      <w:r>
        <w:t>The Priority Events table is useful, but many rows have the same evidence and attention values. This can make the ranking look less informative. Add a “Why flagged” column.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49040"/>
            <w:vAlign w:val="top"/>
          </w:tcPr>
          <w:p>
            <w:r/>
            <w:r>
              <w:rPr>
                <w:b/>
                <w:color w:val="15110F"/>
                <w:sz w:val="18"/>
              </w:rPr>
              <w:t>Event</w:t>
            </w:r>
          </w:p>
        </w:tc>
        <w:tc>
          <w:tcPr>
            <w:tcW w:type="dxa" w:w="3360"/>
            <w:shd w:fill="C49040"/>
            <w:vAlign w:val="top"/>
          </w:tcPr>
          <w:p>
            <w:r/>
            <w:r>
              <w:rPr>
                <w:b/>
                <w:color w:val="15110F"/>
                <w:sz w:val="18"/>
              </w:rPr>
              <w:t>Attention</w:t>
            </w:r>
          </w:p>
        </w:tc>
        <w:tc>
          <w:tcPr>
            <w:tcW w:type="dxa" w:w="3360"/>
            <w:shd w:fill="C49040"/>
            <w:vAlign w:val="top"/>
          </w:tcPr>
          <w:p>
            <w:r/>
            <w:r>
              <w:rPr>
                <w:b/>
                <w:color w:val="15110F"/>
                <w:sz w:val="18"/>
              </w:rPr>
              <w:t>Why flagged</w:t>
            </w:r>
          </w:p>
        </w:tc>
      </w:tr>
      <w:tr>
        <w:tc>
          <w:tcPr>
            <w:tcW w:type="dxa" w:w="3360"/>
            <w:vAlign w:val="top"/>
          </w:tcPr>
          <w:p>
            <w:r/>
            <w:r>
              <w:rPr>
                <w:b w:val="0"/>
                <w:sz w:val="18"/>
              </w:rPr>
              <w:t>B00.10.15</w:t>
            </w:r>
          </w:p>
        </w:tc>
        <w:tc>
          <w:tcPr>
            <w:tcW w:type="dxa" w:w="3360"/>
            <w:vAlign w:val="top"/>
          </w:tcPr>
          <w:p>
            <w:r/>
            <w:r>
              <w:rPr>
                <w:b w:val="0"/>
                <w:sz w:val="18"/>
              </w:rPr>
              <w:t>Critical</w:t>
            </w:r>
          </w:p>
        </w:tc>
        <w:tc>
          <w:tcPr>
            <w:tcW w:type="dxa" w:w="3360"/>
            <w:vAlign w:val="top"/>
          </w:tcPr>
          <w:p>
            <w:r/>
            <w:r>
              <w:rPr>
                <w:b w:val="0"/>
                <w:sz w:val="18"/>
              </w:rPr>
              <w:t>Total collapse, hydraulic trigger, human impact, high evidence reliability.</w:t>
            </w:r>
          </w:p>
        </w:tc>
      </w:tr>
      <w:tr>
        <w:tc>
          <w:tcPr>
            <w:tcW w:type="dxa" w:w="3360"/>
            <w:vAlign w:val="top"/>
          </w:tcPr>
          <w:p>
            <w:r/>
            <w:r>
              <w:rPr>
                <w:b w:val="0"/>
                <w:sz w:val="18"/>
              </w:rPr>
              <w:t>B00.10.03</w:t>
            </w:r>
          </w:p>
        </w:tc>
        <w:tc>
          <w:tcPr>
            <w:tcW w:type="dxa" w:w="3360"/>
            <w:vAlign w:val="top"/>
          </w:tcPr>
          <w:p>
            <w:r/>
            <w:r>
              <w:rPr>
                <w:b w:val="0"/>
                <w:sz w:val="18"/>
              </w:rPr>
              <w:t>High</w:t>
            </w:r>
          </w:p>
        </w:tc>
        <w:tc>
          <w:tcPr>
            <w:tcW w:type="dxa" w:w="3360"/>
            <w:vAlign w:val="top"/>
          </w:tcPr>
          <w:p>
            <w:r/>
            <w:r>
              <w:rPr>
                <w:b w:val="0"/>
                <w:sz w:val="18"/>
              </w:rPr>
              <w:t>Total collapse, hydraulic trigger, same territorial cluster.</w:t>
            </w:r>
          </w:p>
        </w:tc>
      </w:tr>
      <w:tr>
        <w:tc>
          <w:tcPr>
            <w:tcW w:type="dxa" w:w="3360"/>
            <w:vAlign w:val="top"/>
          </w:tcPr>
          <w:p>
            <w:r/>
            <w:r>
              <w:rPr>
                <w:b w:val="0"/>
                <w:sz w:val="18"/>
              </w:rPr>
              <w:t>B00.10.14</w:t>
            </w:r>
          </w:p>
        </w:tc>
        <w:tc>
          <w:tcPr>
            <w:tcW w:type="dxa" w:w="3360"/>
            <w:vAlign w:val="top"/>
          </w:tcPr>
          <w:p>
            <w:r/>
            <w:r>
              <w:rPr>
                <w:b w:val="0"/>
                <w:sz w:val="18"/>
              </w:rPr>
              <w:t>High</w:t>
            </w:r>
          </w:p>
        </w:tc>
        <w:tc>
          <w:tcPr>
            <w:tcW w:type="dxa" w:w="3360"/>
            <w:vAlign w:val="top"/>
          </w:tcPr>
          <w:p>
            <w:r/>
            <w:r>
              <w:rPr>
                <w:b w:val="0"/>
                <w:sz w:val="18"/>
              </w:rPr>
              <w:t>Historical hydraulic precedent in selected province.</w:t>
            </w:r>
          </w:p>
        </w:tc>
      </w:tr>
    </w:tbl>
    <w:p>
      <w:pPr>
        <w:pStyle w:val="Heading2"/>
      </w:pPr>
      <w:r>
        <w:t>4.8 Add a “Decision Use” section</w:t>
      </w:r>
    </w:p>
    <w:p>
      <w:r>
        <w:t>For important professional clients, the report should explicitly state what the briefing can and cannot support. This improves trust and reduces misuse.</w:t>
      </w:r>
    </w:p>
    <w:tbl>
      <w:tblPr>
        <w:tblStyle w:val="TableGrid"/>
        <w:tblW w:type="auto" w:w="0"/>
        <w:jc w:val="center"/>
        <w:tblLook w:firstColumn="1" w:firstRow="1" w:lastColumn="0" w:lastRow="0" w:noHBand="0" w:noVBand="1" w:val="04A0"/>
      </w:tblPr>
      <w:tblGrid>
        <w:gridCol w:w="5040"/>
        <w:gridCol w:w="5040"/>
      </w:tblGrid>
      <w:tr>
        <w:tc>
          <w:tcPr>
            <w:tcW w:type="dxa" w:w="5040"/>
            <w:shd w:fill="C49040"/>
            <w:vAlign w:val="top"/>
          </w:tcPr>
          <w:p>
            <w:r/>
            <w:r>
              <w:rPr>
                <w:b/>
                <w:color w:val="15110F"/>
                <w:sz w:val="18"/>
              </w:rPr>
              <w:t>Can support</w:t>
            </w:r>
          </w:p>
        </w:tc>
        <w:tc>
          <w:tcPr>
            <w:tcW w:type="dxa" w:w="5040"/>
            <w:shd w:fill="C49040"/>
            <w:vAlign w:val="top"/>
          </w:tcPr>
          <w:p>
            <w:r/>
            <w:r>
              <w:rPr>
                <w:b/>
                <w:color w:val="15110F"/>
                <w:sz w:val="18"/>
              </w:rPr>
              <w:t>Should not be used as</w:t>
            </w:r>
          </w:p>
        </w:tc>
      </w:tr>
      <w:tr>
        <w:tc>
          <w:tcPr>
            <w:tcW w:type="dxa" w:w="5040"/>
            <w:vAlign w:val="top"/>
          </w:tcPr>
          <w:p>
            <w:r/>
            <w:r>
              <w:rPr>
                <w:b w:val="0"/>
                <w:sz w:val="18"/>
              </w:rPr>
              <w:t>Preliminary territorial screening</w:t>
            </w:r>
          </w:p>
        </w:tc>
        <w:tc>
          <w:tcPr>
            <w:tcW w:type="dxa" w:w="5040"/>
            <w:vAlign w:val="top"/>
          </w:tcPr>
          <w:p>
            <w:r/>
            <w:r>
              <w:rPr>
                <w:b w:val="0"/>
                <w:sz w:val="18"/>
              </w:rPr>
              <w:t>Structural safety certification</w:t>
            </w:r>
          </w:p>
        </w:tc>
      </w:tr>
      <w:tr>
        <w:tc>
          <w:tcPr>
            <w:tcW w:type="dxa" w:w="5040"/>
            <w:vAlign w:val="top"/>
          </w:tcPr>
          <w:p>
            <w:r/>
            <w:r>
              <w:rPr>
                <w:b w:val="0"/>
                <w:sz w:val="18"/>
              </w:rPr>
              <w:t>Early-stage design discussion</w:t>
            </w:r>
          </w:p>
        </w:tc>
        <w:tc>
          <w:tcPr>
            <w:tcW w:type="dxa" w:w="5040"/>
            <w:vAlign w:val="top"/>
          </w:tcPr>
          <w:p>
            <w:r/>
            <w:r>
              <w:rPr>
                <w:b w:val="0"/>
                <w:sz w:val="18"/>
              </w:rPr>
              <w:t>Replacement for inspections</w:t>
            </w:r>
          </w:p>
        </w:tc>
      </w:tr>
      <w:tr>
        <w:tc>
          <w:tcPr>
            <w:tcW w:type="dxa" w:w="5040"/>
            <w:vAlign w:val="top"/>
          </w:tcPr>
          <w:p>
            <w:r/>
            <w:r>
              <w:rPr>
                <w:b w:val="0"/>
                <w:sz w:val="18"/>
              </w:rPr>
              <w:t>Identification of hydraulic-context checks</w:t>
            </w:r>
          </w:p>
        </w:tc>
        <w:tc>
          <w:tcPr>
            <w:tcW w:type="dxa" w:w="5040"/>
            <w:vAlign w:val="top"/>
          </w:tcPr>
          <w:p>
            <w:r/>
            <w:r>
              <w:rPr>
                <w:b w:val="0"/>
                <w:sz w:val="18"/>
              </w:rPr>
              <w:t>Replacement for hydraulic, geotechnical or structural modelling</w:t>
            </w:r>
          </w:p>
        </w:tc>
      </w:tr>
      <w:tr>
        <w:tc>
          <w:tcPr>
            <w:tcW w:type="dxa" w:w="5040"/>
            <w:vAlign w:val="top"/>
          </w:tcPr>
          <w:p>
            <w:r/>
            <w:r>
              <w:rPr>
                <w:b w:val="0"/>
                <w:sz w:val="18"/>
              </w:rPr>
              <w:t>Preparation of due diligence documentation</w:t>
            </w:r>
          </w:p>
        </w:tc>
        <w:tc>
          <w:tcPr>
            <w:tcW w:type="dxa" w:w="5040"/>
            <w:vAlign w:val="top"/>
          </w:tcPr>
          <w:p>
            <w:r/>
            <w:r>
              <w:rPr>
                <w:b w:val="0"/>
                <w:sz w:val="18"/>
              </w:rPr>
              <w:t>Institutional decision without further verification</w:t>
            </w:r>
          </w:p>
        </w:tc>
      </w:tr>
    </w:tbl>
    <w:p>
      <w:pPr>
        <w:pStyle w:val="Heading2"/>
      </w:pPr>
      <w:r>
        <w:t>4.9 Add interpretation below National Benchmark</w:t>
      </w:r>
    </w:p>
    <w:p>
      <w:r>
        <w:t>The National Benchmark table is useful, but it needs an automatic interpretive sentence. Every table should tell the client what the numbers mean.</w:t>
      </w:r>
    </w:p>
    <w:p>
      <w:r>
        <w:t>Example:</w:t>
      </w:r>
    </w:p>
    <w:p>
      <w:r>
        <w:rPr>
          <w:i/>
        </w:rPr>
        <w:t>Compared with the national ARCUS baseline, Torino shows a higher share of triggered events and professional-grade evidence, while the total collapse share is below the national average. This suggests a strong event-driven historical pattern with high source reliability.</w:t>
      </w:r>
    </w:p>
    <w:p>
      <w:pPr>
        <w:pStyle w:val="Heading2"/>
      </w:pPr>
      <w:r>
        <w:t>4.10 Add a Source Appendix</w:t>
      </w:r>
    </w:p>
    <w:p>
      <w:r>
        <w:t>The report mentions 125 documented sources, but the client cannot see them. For professional credibility, add a source appendix or a separate source export.</w:t>
      </w:r>
    </w:p>
    <w:tbl>
      <w:tblPr>
        <w:tblStyle w:val="TableGrid"/>
        <w:tblW w:type="auto" w:w="0"/>
        <w:jc w:val="center"/>
        <w:tblLook w:firstColumn="1" w:firstRow="1" w:lastColumn="0" w:lastRow="0" w:noHBand="0" w:noVBand="1" w:val="04A0"/>
      </w:tblPr>
      <w:tblGrid>
        <w:gridCol w:w="5040"/>
        <w:gridCol w:w="5040"/>
      </w:tblGrid>
      <w:tr>
        <w:tc>
          <w:tcPr>
            <w:tcW w:type="dxa" w:w="5040"/>
            <w:shd w:fill="C49040"/>
            <w:vAlign w:val="top"/>
          </w:tcPr>
          <w:p>
            <w:r/>
            <w:r>
              <w:rPr>
                <w:b/>
                <w:color w:val="15110F"/>
                <w:sz w:val="18"/>
              </w:rPr>
              <w:t>Field</w:t>
            </w:r>
          </w:p>
        </w:tc>
        <w:tc>
          <w:tcPr>
            <w:tcW w:type="dxa" w:w="5040"/>
            <w:shd w:fill="C49040"/>
            <w:vAlign w:val="top"/>
          </w:tcPr>
          <w:p>
            <w:r/>
            <w:r>
              <w:rPr>
                <w:b/>
                <w:color w:val="15110F"/>
                <w:sz w:val="18"/>
              </w:rPr>
              <w:t>Description</w:t>
            </w:r>
          </w:p>
        </w:tc>
      </w:tr>
      <w:tr>
        <w:tc>
          <w:tcPr>
            <w:tcW w:type="dxa" w:w="5040"/>
            <w:vAlign w:val="top"/>
          </w:tcPr>
          <w:p>
            <w:r/>
            <w:r>
              <w:rPr>
                <w:b w:val="0"/>
                <w:sz w:val="18"/>
              </w:rPr>
              <w:t>Event ID</w:t>
            </w:r>
          </w:p>
        </w:tc>
        <w:tc>
          <w:tcPr>
            <w:tcW w:type="dxa" w:w="5040"/>
            <w:vAlign w:val="top"/>
          </w:tcPr>
          <w:p>
            <w:r/>
            <w:r>
              <w:rPr>
                <w:b w:val="0"/>
                <w:sz w:val="18"/>
              </w:rPr>
              <w:t>ARCUS collapse event identifier.</w:t>
            </w:r>
          </w:p>
        </w:tc>
      </w:tr>
      <w:tr>
        <w:tc>
          <w:tcPr>
            <w:tcW w:type="dxa" w:w="5040"/>
            <w:vAlign w:val="top"/>
          </w:tcPr>
          <w:p>
            <w:r/>
            <w:r>
              <w:rPr>
                <w:b w:val="0"/>
                <w:sz w:val="18"/>
              </w:rPr>
              <w:t>Source title</w:t>
            </w:r>
          </w:p>
        </w:tc>
        <w:tc>
          <w:tcPr>
            <w:tcW w:type="dxa" w:w="5040"/>
            <w:vAlign w:val="top"/>
          </w:tcPr>
          <w:p>
            <w:r/>
            <w:r>
              <w:rPr>
                <w:b w:val="0"/>
                <w:sz w:val="18"/>
              </w:rPr>
              <w:t>Title of the referenced source.</w:t>
            </w:r>
          </w:p>
        </w:tc>
      </w:tr>
      <w:tr>
        <w:tc>
          <w:tcPr>
            <w:tcW w:type="dxa" w:w="5040"/>
            <w:vAlign w:val="top"/>
          </w:tcPr>
          <w:p>
            <w:r/>
            <w:r>
              <w:rPr>
                <w:b w:val="0"/>
                <w:sz w:val="18"/>
              </w:rPr>
              <w:t>Source type</w:t>
            </w:r>
          </w:p>
        </w:tc>
        <w:tc>
          <w:tcPr>
            <w:tcW w:type="dxa" w:w="5040"/>
            <w:vAlign w:val="top"/>
          </w:tcPr>
          <w:p>
            <w:r/>
            <w:r>
              <w:rPr>
                <w:b w:val="0"/>
                <w:sz w:val="18"/>
              </w:rPr>
              <w:t>Institutional, technical, news, academic or other.</w:t>
            </w:r>
          </w:p>
        </w:tc>
      </w:tr>
      <w:tr>
        <w:tc>
          <w:tcPr>
            <w:tcW w:type="dxa" w:w="5040"/>
            <w:vAlign w:val="top"/>
          </w:tcPr>
          <w:p>
            <w:r/>
            <w:r>
              <w:rPr>
                <w:b w:val="0"/>
                <w:sz w:val="18"/>
              </w:rPr>
              <w:t>Source role</w:t>
            </w:r>
          </w:p>
        </w:tc>
        <w:tc>
          <w:tcPr>
            <w:tcW w:type="dxa" w:w="5040"/>
            <w:vAlign w:val="top"/>
          </w:tcPr>
          <w:p>
            <w:r/>
            <w:r>
              <w:rPr>
                <w:b w:val="0"/>
                <w:sz w:val="18"/>
              </w:rPr>
              <w:t>Primary, supporting, image, technical reference, etc.</w:t>
            </w:r>
          </w:p>
        </w:tc>
      </w:tr>
      <w:tr>
        <w:tc>
          <w:tcPr>
            <w:tcW w:type="dxa" w:w="5040"/>
            <w:vAlign w:val="top"/>
          </w:tcPr>
          <w:p>
            <w:r/>
            <w:r>
              <w:rPr>
                <w:b w:val="0"/>
                <w:sz w:val="18"/>
              </w:rPr>
              <w:t>Publication date</w:t>
            </w:r>
          </w:p>
        </w:tc>
        <w:tc>
          <w:tcPr>
            <w:tcW w:type="dxa" w:w="5040"/>
            <w:vAlign w:val="top"/>
          </w:tcPr>
          <w:p>
            <w:r/>
            <w:r>
              <w:rPr>
                <w:b w:val="0"/>
                <w:sz w:val="18"/>
              </w:rPr>
              <w:t>Date of publication, where available.</w:t>
            </w:r>
          </w:p>
        </w:tc>
      </w:tr>
      <w:tr>
        <w:tc>
          <w:tcPr>
            <w:tcW w:type="dxa" w:w="5040"/>
            <w:vAlign w:val="top"/>
          </w:tcPr>
          <w:p>
            <w:r/>
            <w:r>
              <w:rPr>
                <w:b w:val="0"/>
                <w:sz w:val="18"/>
              </w:rPr>
              <w:t>URL</w:t>
            </w:r>
          </w:p>
        </w:tc>
        <w:tc>
          <w:tcPr>
            <w:tcW w:type="dxa" w:w="5040"/>
            <w:vAlign w:val="top"/>
          </w:tcPr>
          <w:p>
            <w:r/>
            <w:r>
              <w:rPr>
                <w:b w:val="0"/>
                <w:sz w:val="18"/>
              </w:rPr>
              <w:t>Link to source, where available.</w:t>
            </w:r>
          </w:p>
        </w:tc>
      </w:tr>
    </w:tbl>
    <w:p>
      <w:r>
        <w:t>If the full source list is too long for the main PDF, include the first relevant sources and export the full table separately as Excel or CSV.</w:t>
      </w:r>
    </w:p>
    <w:p>
      <w:pPr>
        <w:pStyle w:val="Heading1"/>
      </w:pPr>
      <w:r>
        <w:t>5. Recommended Final Report Structure</w:t>
      </w:r>
    </w:p>
    <w:p>
      <w:pPr/>
      <w:r>
        <w:t>1. Cover - ARCUS, Path 01, territory name and generation date.</w:t>
      </w:r>
    </w:p>
    <w:p>
      <w:pPr/>
      <w:r>
        <w:t>2. Executive Summary - short narrative plus three key findings.</w:t>
      </w:r>
    </w:p>
    <w:p>
      <w:pPr/>
      <w:r>
        <w:t>3. Selected Area &amp; Project Context - selection type, area, project context, events and sources.</w:t>
      </w:r>
    </w:p>
    <w:p>
      <w:pPr/>
      <w:r>
        <w:t>4. How to Read This Report - what the report does and does not do.</w:t>
      </w:r>
    </w:p>
    <w:p>
      <w:pPr/>
      <w:r>
        <w:t>5. Key Indicators - value, class and main driver for each KPI.</w:t>
      </w:r>
    </w:p>
    <w:p>
      <w:pPr/>
      <w:r>
        <w:t>6. Hazard Context - hydraulic, landslide, seismic and failure precedent context with interpretation.</w:t>
      </w:r>
    </w:p>
    <w:p>
      <w:pPr/>
      <w:r>
        <w:t>7. Historical Evidence - cause distribution, severity, triggered share and seasonality where available.</w:t>
      </w:r>
    </w:p>
    <w:p>
      <w:pPr/>
      <w:r>
        <w:t>8. Priority Events - event list, attention class and why flagged.</w:t>
      </w:r>
    </w:p>
    <w:p>
      <w:pPr/>
      <w:r>
        <w:t>9. Comparable Precedents - decomposed similarity and explanation.</w:t>
      </w:r>
    </w:p>
    <w:p>
      <w:pPr/>
      <w:r>
        <w:t>10. Interpretation - what the evidence means for the selected project context.</w:t>
      </w:r>
    </w:p>
    <w:p>
      <w:pPr/>
      <w:r>
        <w:t>11. Decision Use - what the briefing can support and what it cannot replace.</w:t>
      </w:r>
    </w:p>
    <w:p>
      <w:pPr/>
      <w:r>
        <w:t>12. Recommendations - three to five territory-specific next actions.</w:t>
      </w:r>
    </w:p>
    <w:p>
      <w:pPr/>
      <w:r>
        <w:t>13. National Benchmark - comparison table plus interpretive paragraph.</w:t>
      </w:r>
    </w:p>
    <w:p>
      <w:pPr/>
      <w:r>
        <w:t>14. Methodology Snapshot - scoring logic and data components.</w:t>
      </w:r>
    </w:p>
    <w:p>
      <w:pPr/>
      <w:r>
        <w:t>15. Score and Class Legend - classes, reliability and attention levels.</w:t>
      </w:r>
    </w:p>
    <w:p>
      <w:pPr/>
      <w:r>
        <w:t>16. Source Appendix - source-backed evidence table or reference to separate export.</w:t>
      </w:r>
    </w:p>
    <w:p>
      <w:pPr>
        <w:pStyle w:val="Heading1"/>
      </w:pPr>
      <w:r>
        <w:t>6. Priority Development Actions</w:t>
      </w:r>
    </w:p>
    <w:p>
      <w:pPr/>
      <w:r>
        <w:t>1. Fix UTF-8 encoding artifacts immediately.</w:t>
      </w:r>
    </w:p>
    <w:p>
      <w:pPr/>
      <w:r>
        <w:t>2. Correct the Historical Evidence aggregation bug.</w:t>
      </w:r>
    </w:p>
    <w:p>
      <w:pPr/>
      <w:r>
        <w:t>3. Rename “Structural vulnerability exposure” to a safer precedent-based label.</w:t>
      </w:r>
    </w:p>
    <w:p>
      <w:pPr/>
      <w:r>
        <w:t>4. Differentiate Comparable Precedent scores and decompose similarity logic.</w:t>
      </w:r>
    </w:p>
    <w:p>
      <w:pPr/>
      <w:r>
        <w:t>5. Add a “Why flagged” column to Priority Events.</w:t>
      </w:r>
    </w:p>
    <w:p>
      <w:pPr/>
      <w:r>
        <w:t>6. Add interpretive sentences below all major tables.</w:t>
      </w:r>
    </w:p>
    <w:p>
      <w:pPr/>
      <w:r>
        <w:t>7. Add the Decision Use section.</w:t>
      </w:r>
    </w:p>
    <w:p>
      <w:pPr/>
      <w:r>
        <w:t>8. Add a Source Appendix or source export.</w:t>
      </w:r>
    </w:p>
    <w:p>
      <w:pPr/>
      <w:r>
        <w:t>9. Improve the Executive Summary copy.</w:t>
      </w:r>
    </w:p>
    <w:p>
      <w:pPr/>
      <w:r>
        <w:t>10. Standardize KPI structure: value, class and main driver.</w:t>
      </w:r>
    </w:p>
    <w:p>
      <w:pPr>
        <w:pStyle w:val="Heading1"/>
      </w:pPr>
      <w:r>
        <w:t>7. Final Strategic Recommendation</w:t>
      </w:r>
    </w:p>
    <w:p>
      <w:r>
        <w:t>The Path 01 report should not simply show numbers and tables. It should explain why the selected territory deserves attention, what historical evidence supports the reading, what public hazard context is relevant, what the limits are, and what technical checks should follow.</w:t>
      </w:r>
    </w:p>
    <w:p>
      <w:r>
        <w:rPr>
          <w:b/>
        </w:rPr>
        <w:t>The goal is to transform the report from an interesting data export into a professional, evidence-based decision-support briefing.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D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7A654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C171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7A65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C171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