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ARCUS PROFESSIONAL</w:t>
      </w:r>
    </w:p>
    <w:p>
      <w:pPr>
        <w:jc w:val="center"/>
      </w:pPr>
      <w:r>
        <w:rPr>
          <w:b/>
          <w:sz w:val="28"/>
        </w:rPr>
        <w:t>Review strategica dell’output Path 01 / New Territory</w:t>
      </w:r>
    </w:p>
    <w:p>
      <w:pPr>
        <w:jc w:val="center"/>
      </w:pPr>
      <w:r>
        <w:rPr>
          <w:i/>
        </w:rPr>
        <w:t>Obiettivo: trasformare il Territory Briefing in un output realmente professionale, chiaro, verificabile e utilizzabile da clienti importanti.</w:t>
      </w:r>
    </w:p>
    <w:p>
      <w:pPr>
        <w:pStyle w:val="Heading2"/>
      </w:pPr>
      <w:r>
        <w:t>1. Valutazione generale</w:t>
      </w:r>
    </w:p>
    <w:p>
      <w:r>
        <w:t>L’output analizzato è già nella direzione corretta: non appare come una semplice stampa della mappa, ma come un Territory Briefing professionale. La struttura di base è valida perché accompagna il cliente da territorio, a evidenze, eventi, confronto, raccomandazioni, benchmark e metodologia.</w:t>
      </w:r>
    </w:p>
    <w:p>
      <w:r>
        <w:t>Struttura attuale osservata:</w:t>
      </w:r>
    </w:p>
    <w:p>
      <w:pPr>
        <w:pStyle w:val="ListBullet"/>
      </w:pPr>
      <w:r>
        <w:t>Cover con brand ARCUS e identificazione Path 01 / New Territory.</w:t>
      </w:r>
    </w:p>
    <w:p>
      <w:pPr>
        <w:pStyle w:val="ListBullet"/>
      </w:pPr>
      <w:r>
        <w:t>KPI principali: Priority Index, Evidence Reliability, Vulnerability, Historical Events.</w:t>
      </w:r>
    </w:p>
    <w:p>
      <w:pPr>
        <w:pStyle w:val="ListBullet"/>
      </w:pPr>
      <w:r>
        <w:t>Territory Summary.</w:t>
      </w:r>
    </w:p>
    <w:p>
      <w:pPr>
        <w:pStyle w:val="ListBullet"/>
      </w:pPr>
      <w:r>
        <w:t>Hazard Summaries.</w:t>
      </w:r>
    </w:p>
    <w:p>
      <w:pPr>
        <w:pStyle w:val="ListBullet"/>
      </w:pPr>
      <w:r>
        <w:t>Historical Evidence.</w:t>
      </w:r>
    </w:p>
    <w:p>
      <w:pPr>
        <w:pStyle w:val="ListBullet"/>
      </w:pPr>
      <w:r>
        <w:t>Priority Events.</w:t>
      </w:r>
    </w:p>
    <w:p>
      <w:pPr>
        <w:pStyle w:val="ListBullet"/>
      </w:pPr>
      <w:r>
        <w:t>Comparable Precedents.</w:t>
      </w:r>
    </w:p>
    <w:p>
      <w:pPr>
        <w:pStyle w:val="ListBullet"/>
      </w:pPr>
      <w:r>
        <w:t>Recommendations.</w:t>
      </w:r>
    </w:p>
    <w:p>
      <w:pPr>
        <w:pStyle w:val="ListBullet"/>
      </w:pPr>
      <w:r>
        <w:t>National Benchmark.</w:t>
      </w:r>
    </w:p>
    <w:p>
      <w:pPr>
        <w:pStyle w:val="ListBullet"/>
      </w:pPr>
      <w:r>
        <w:t>Scoring Logic.</w:t>
      </w:r>
    </w:p>
    <w:p>
      <w:r>
        <w:t>Questa sequenza è concettualmente corretta perché comunica che ARCUS non mostra solo dati, ma costruisce un quadro di intelligence territoriale.</w:t>
      </w:r>
    </w:p>
    <w:p>
      <w:pPr>
        <w:pStyle w:val="Heading2"/>
      </w:pPr>
      <w:r>
        <w:t>2. Problemi da sistemare subito</w:t>
      </w:r>
    </w:p>
    <w:p>
      <w:pPr>
        <w:pStyle w:val="Heading3"/>
      </w:pPr>
      <w:r>
        <w:t>2.1 Errore critico nella sezione Historical Evidence</w:t>
      </w:r>
    </w:p>
    <w:p>
      <w:r>
        <w:t>Nel report compare una tabella con campi vuoti, “undefined” e “NaN%”. Questo errore non deve mai uscire in un output Professional, perché compromette immediatamente la fiducia del cliente.</w:t>
      </w:r>
    </w:p>
    <w:tbl>
      <w:tblPr>
        <w:tblW w:type="auto" w:w="0"/>
        <w:jc w:val="center"/>
        <w:tblLook w:firstColumn="1" w:firstRow="1" w:lastColumn="0" w:lastRow="0" w:noHBand="0" w:noVBand="1" w:val="04A0"/>
      </w:tblPr>
      <w:tblGrid>
        <w:gridCol w:w="3408"/>
        <w:gridCol w:w="3408"/>
        <w:gridCol w:w="3408"/>
      </w:tblGrid>
      <w:tr>
        <w:tc>
          <w:tcPr>
            <w:tcW w:type="dxa" w:w="3408"/>
            <w:shd w:fill="D9CEC1"/>
          </w:tcPr>
          <w:p>
            <w:r/>
            <w:r>
              <w:rPr>
                <w:b/>
                <w:sz w:val="18"/>
              </w:rPr>
              <w:t>Problema</w:t>
            </w:r>
          </w:p>
        </w:tc>
        <w:tc>
          <w:tcPr>
            <w:tcW w:type="dxa" w:w="3408"/>
            <w:shd w:fill="D9CEC1"/>
          </w:tcPr>
          <w:p>
            <w:r/>
            <w:r>
              <w:rPr>
                <w:b/>
                <w:sz w:val="18"/>
              </w:rPr>
              <w:t>Impatto</w:t>
            </w:r>
          </w:p>
        </w:tc>
        <w:tc>
          <w:tcPr>
            <w:tcW w:type="dxa" w:w="3408"/>
            <w:shd w:fill="D9CEC1"/>
          </w:tcPr>
          <w:p>
            <w:r/>
            <w:r>
              <w:rPr>
                <w:b/>
                <w:sz w:val="18"/>
              </w:rPr>
              <w:t>Azione richiesta</w:t>
            </w:r>
          </w:p>
        </w:tc>
      </w:tr>
      <w:tr>
        <w:tc>
          <w:tcPr>
            <w:tcW w:type="dxa" w:w="3408"/>
          </w:tcPr>
          <w:p>
            <w:r/>
            <w:r>
              <w:rPr>
                <w:b w:val="0"/>
                <w:sz w:val="18"/>
              </w:rPr>
              <w:t>Cause vuote, Occurrences undefined, Share NaN%.</w:t>
            </w:r>
          </w:p>
        </w:tc>
        <w:tc>
          <w:tcPr>
            <w:tcW w:type="dxa" w:w="3408"/>
          </w:tcPr>
          <w:p>
            <w:r/>
            <w:r>
              <w:rPr>
                <w:b w:val="0"/>
                <w:sz w:val="18"/>
              </w:rPr>
              <w:t>Perdita di credibilità immediata del report.</w:t>
            </w:r>
          </w:p>
        </w:tc>
        <w:tc>
          <w:tcPr>
            <w:tcW w:type="dxa" w:w="3408"/>
          </w:tcPr>
          <w:p>
            <w:r/>
            <w:r>
              <w:rPr>
                <w:b w:val="0"/>
                <w:sz w:val="18"/>
              </w:rPr>
              <w:t>Filtrare i dati non validi e mostrare un messaggio elegante quando la distribuzione non è disponibile.</w:t>
            </w:r>
          </w:p>
        </w:tc>
      </w:tr>
    </w:tbl>
    <w:p>
      <w:r>
        <w:t>Istruzione di sviluppo:</w:t>
      </w:r>
    </w:p>
    <w:p>
      <w:r>
        <w:rPr>
          <w:rFonts w:ascii="Courier New" w:hAnsi="Courier New"/>
          <w:sz w:val="17"/>
        </w:rPr>
        <w:t>const validHistoricalCauses = historicalCauses.filter(</w:t>
        <w:br/>
        <w:t xml:space="preserve">  item =&gt; item &amp;&amp; item.cause &amp;&amp; Number.isFinite(item.occurrences) &amp;&amp; Number.isFinite(item.share)</w:t>
        <w:br/>
        <w:t>);</w:t>
      </w:r>
    </w:p>
    <w:p>
      <w:r>
        <w:t>Fallback consigliato in UI/report:</w:t>
      </w:r>
    </w:p>
    <w:p>
      <w:r>
        <w:rPr>
          <w:i/>
        </w:rPr>
        <w:t>No statistically reliable cause distribution available for this selected area.</w:t>
      </w:r>
    </w:p>
    <w:p>
      <w:pPr>
        <w:pStyle w:val="Heading3"/>
      </w:pPr>
      <w:r>
        <w:t>2.2 KPI da rendere interpretabili</w:t>
      </w:r>
    </w:p>
    <w:p>
      <w:r>
        <w:t>I KPI sono utili, ma devono essere immediatamente leggibili. Un cliente deve capire non solo il valore numerico, ma anche la classe e il significato operativo.</w:t>
      </w:r>
    </w:p>
    <w:p>
      <w:pPr>
        <w:pStyle w:val="ListBullet"/>
      </w:pPr>
      <w:r>
        <w:t>Non mostrare solo “Priority Index: 72”.</w:t>
      </w:r>
    </w:p>
    <w:p>
      <w:pPr>
        <w:pStyle w:val="ListBullet"/>
      </w:pPr>
      <w:r>
        <w:t>Mostrare valore, classe e interpretazione.</w:t>
      </w:r>
    </w:p>
    <w:p>
      <w:pPr>
        <w:pStyle w:val="ListBullet"/>
      </w:pPr>
      <w:r>
        <w:t>Esempio: “72 / 100 — High attention”.</w:t>
      </w:r>
    </w:p>
    <w:p>
      <w:pPr>
        <w:pStyle w:val="ListBullet"/>
      </w:pPr>
      <w:r>
        <w:t>Aggiungere una frase breve che spieghi perché il valore è alto, medio o basso.</w:t>
      </w:r>
    </w:p>
    <w:p>
      <w:pPr>
        <w:pStyle w:val="Heading3"/>
      </w:pPr>
      <w:r>
        <w:t>2.3 Terminologia: evitare ambiguità su vulnerabilità e rischio</w:t>
      </w:r>
    </w:p>
    <w:p>
      <w:r>
        <w:t>La parola “Vulnerability” può essere percepita come una valutazione tecnica diretta della vulnerabilità strutturale, soprattutto se il report riguarda un territorio e non un asset verificato in campo.</w:t>
      </w:r>
    </w:p>
    <w:tbl>
      <w:tblPr>
        <w:tblW w:type="auto" w:w="0"/>
        <w:tblLook w:firstColumn="1" w:firstRow="1" w:lastColumn="0" w:lastRow="0" w:noHBand="0" w:noVBand="1" w:val="04A0"/>
      </w:tblPr>
      <w:tblGrid>
        <w:gridCol w:w="5112"/>
        <w:gridCol w:w="5112"/>
      </w:tblGrid>
      <w:tr>
        <w:tc>
          <w:tcPr>
            <w:tcW w:type="dxa" w:w="5112"/>
            <w:shd w:fill="D9CEC1"/>
          </w:tcPr>
          <w:p>
            <w:r/>
            <w:r>
              <w:rPr>
                <w:b/>
                <w:sz w:val="18"/>
              </w:rPr>
              <w:t>Da evitare / usare con cautela</w:t>
            </w:r>
          </w:p>
        </w:tc>
        <w:tc>
          <w:tcPr>
            <w:tcW w:type="dxa" w:w="5112"/>
            <w:shd w:fill="D9CEC1"/>
          </w:tcPr>
          <w:p>
            <w:r/>
            <w:r>
              <w:rPr>
                <w:b/>
                <w:sz w:val="18"/>
              </w:rPr>
              <w:t>Alternative consigliate</w:t>
            </w:r>
          </w:p>
        </w:tc>
      </w:tr>
      <w:tr>
        <w:tc>
          <w:tcPr>
            <w:tcW w:type="dxa" w:w="5112"/>
          </w:tcPr>
          <w:p>
            <w:r/>
            <w:r>
              <w:rPr>
                <w:b w:val="0"/>
                <w:sz w:val="18"/>
              </w:rPr>
              <w:t>Vulnerability</w:t>
            </w:r>
          </w:p>
        </w:tc>
        <w:tc>
          <w:tcPr>
            <w:tcW w:type="dxa" w:w="5112"/>
          </w:tcPr>
          <w:p>
            <w:r/>
            <w:r>
              <w:rPr>
                <w:b w:val="0"/>
                <w:sz w:val="18"/>
              </w:rPr>
              <w:t>Infrastructure Attention Indicator</w:t>
            </w:r>
          </w:p>
        </w:tc>
      </w:tr>
      <w:tr>
        <w:tc>
          <w:tcPr>
            <w:tcW w:type="dxa" w:w="5112"/>
          </w:tcPr>
          <w:p>
            <w:r/>
            <w:r>
              <w:rPr>
                <w:b w:val="0"/>
                <w:sz w:val="18"/>
              </w:rPr>
              <w:t>Risk Score</w:t>
            </w:r>
          </w:p>
        </w:tc>
        <w:tc>
          <w:tcPr>
            <w:tcW w:type="dxa" w:w="5112"/>
          </w:tcPr>
          <w:p>
            <w:r/>
            <w:r>
              <w:rPr>
                <w:b w:val="0"/>
                <w:sz w:val="18"/>
              </w:rPr>
              <w:t>Priority Index</w:t>
            </w:r>
          </w:p>
        </w:tc>
      </w:tr>
      <w:tr>
        <w:tc>
          <w:tcPr>
            <w:tcW w:type="dxa" w:w="5112"/>
          </w:tcPr>
          <w:p>
            <w:r/>
            <w:r>
              <w:rPr>
                <w:b w:val="0"/>
                <w:sz w:val="18"/>
              </w:rPr>
              <w:t>Structural vulnerability exposure</w:t>
            </w:r>
          </w:p>
        </w:tc>
        <w:tc>
          <w:tcPr>
            <w:tcW w:type="dxa" w:w="5112"/>
          </w:tcPr>
          <w:p>
            <w:r/>
            <w:r>
              <w:rPr>
                <w:b w:val="0"/>
                <w:sz w:val="18"/>
              </w:rPr>
              <w:t>Failure Precedent Exposure</w:t>
            </w:r>
          </w:p>
        </w:tc>
      </w:tr>
      <w:tr>
        <w:tc>
          <w:tcPr>
            <w:tcW w:type="dxa" w:w="5112"/>
          </w:tcPr>
          <w:p>
            <w:r/>
            <w:r>
              <w:rPr>
                <w:b w:val="0"/>
                <w:sz w:val="18"/>
              </w:rPr>
              <w:t>Safety score</w:t>
            </w:r>
          </w:p>
        </w:tc>
        <w:tc>
          <w:tcPr>
            <w:tcW w:type="dxa" w:w="5112"/>
          </w:tcPr>
          <w:p>
            <w:r/>
            <w:r>
              <w:rPr>
                <w:b w:val="0"/>
                <w:sz w:val="18"/>
              </w:rPr>
              <w:t>Exposure &amp; Evidence Indicator</w:t>
            </w:r>
          </w:p>
        </w:tc>
      </w:tr>
    </w:tbl>
    <w:p>
      <w:pPr>
        <w:pStyle w:val="Heading2"/>
      </w:pPr>
      <w:r>
        <w:t>3. Sezioni da aggiungere per aumentare il valore professionale</w:t>
      </w:r>
    </w:p>
    <w:p>
      <w:pPr>
        <w:pStyle w:val="Heading3"/>
      </w:pPr>
      <w:r>
        <w:t>3.1 Executive Summary</w:t>
      </w:r>
    </w:p>
    <w:p>
      <w:r>
        <w:t>Da inserire subito dopo la cover e prima dei KPI. Deve dare al cliente una lettura immediata del risultato principale.</w:t>
      </w:r>
    </w:p>
    <w:p>
      <w:r>
        <w:t>Esempio:</w:t>
      </w:r>
    </w:p>
    <w:p>
      <w:r>
        <w:rPr>
          <w:i/>
        </w:rPr>
        <w:t>The selected territory shows a high infrastructure attention level, mainly driven by hydraulic-related historical collapses. Seven ARCUS events are documented in the area, with hydraulic mechanisms representing the dominant historical pattern. The briefing should be used as preliminary evidence for planning, due diligence or further technical investigation.</w:t>
      </w:r>
    </w:p>
    <w:p>
      <w:pPr>
        <w:pStyle w:val="Heading3"/>
      </w:pPr>
      <w:r>
        <w:t>3.2 How to read this report</w:t>
      </w:r>
    </w:p>
    <w:p>
      <w:r>
        <w:t>Serve una sezione breve che chiarisca cosa combina ARCUS e cosa invece non pretende di fare.</w:t>
      </w:r>
    </w:p>
    <w:p>
      <w:pPr>
        <w:pStyle w:val="ListBullet"/>
      </w:pPr>
      <w:r>
        <w:t>ARCUS historical bridge collapse records.</w:t>
      </w:r>
    </w:p>
    <w:p>
      <w:pPr>
        <w:pStyle w:val="ListBullet"/>
      </w:pPr>
      <w:r>
        <w:t>Public hazard layers.</w:t>
      </w:r>
    </w:p>
    <w:p>
      <w:pPr>
        <w:pStyle w:val="ListBullet"/>
      </w:pPr>
      <w:r>
        <w:t>Source-backed evidence.</w:t>
      </w:r>
    </w:p>
    <w:p>
      <w:pPr>
        <w:pStyle w:val="ListBullet"/>
      </w:pPr>
      <w:r>
        <w:t>Comparative precedent analysis.</w:t>
      </w:r>
    </w:p>
    <w:p>
      <w:pPr>
        <w:pStyle w:val="ListBullet"/>
      </w:pPr>
      <w:r>
        <w:t>Non è una certificazione di sicurezza strutturale.</w:t>
      </w:r>
    </w:p>
    <w:p>
      <w:pPr>
        <w:pStyle w:val="ListBullet"/>
      </w:pPr>
      <w:r>
        <w:t>Supporta screening preliminare e prioritizzazione.</w:t>
      </w:r>
    </w:p>
    <w:p>
      <w:pPr>
        <w:pStyle w:val="Heading3"/>
      </w:pPr>
      <w:r>
        <w:t>3.3 Selected Area &amp; Project Context</w:t>
      </w:r>
    </w:p>
    <w:p>
      <w:r>
        <w:t>Il report deve dire chiaramente come è stata definita l’area analizzata. Questo è fondamentale per rendere l’output verificabile e riutilizzabile in riunioni tecniche.</w:t>
      </w:r>
    </w:p>
    <w:p>
      <w:pPr>
        <w:pStyle w:val="ListBullet"/>
      </w:pPr>
      <w:r>
        <w:t>Selection type: province / municipality / custom area / buffer / corridor.</w:t>
      </w:r>
    </w:p>
    <w:p>
      <w:pPr>
        <w:pStyle w:val="ListBullet"/>
      </w:pPr>
      <w:r>
        <w:t>Area name: Massa-Carrara.</w:t>
      </w:r>
    </w:p>
    <w:p>
      <w:pPr>
        <w:pStyle w:val="ListBullet"/>
      </w:pPr>
      <w:r>
        <w:t>Project context: bridge / road crossing / railway crossing / urban intervention.</w:t>
      </w:r>
    </w:p>
    <w:p>
      <w:pPr>
        <w:pStyle w:val="ListBullet"/>
      </w:pPr>
      <w:r>
        <w:t>Buffer radius, se usato.</w:t>
      </w:r>
    </w:p>
    <w:p>
      <w:pPr>
        <w:pStyle w:val="ListBullet"/>
      </w:pPr>
      <w:r>
        <w:t>Coordinate o perimetro analizzato.</w:t>
      </w:r>
    </w:p>
    <w:p>
      <w:pPr>
        <w:pStyle w:val="ListBullet"/>
      </w:pPr>
      <w:r>
        <w:t>Data e ora di generazione.</w:t>
      </w:r>
    </w:p>
    <w:p>
      <w:pPr>
        <w:pStyle w:val="Heading3"/>
      </w:pPr>
      <w:r>
        <w:t>3.4 Methodology Snapshot</w:t>
      </w:r>
    </w:p>
    <w:p>
      <w:r>
        <w:t>La sezione Scoring Logic è utile, ma dovrebbe essere accompagnata da una metodologia sintetica prima dei risultati o subito prima dei limiti.</w:t>
      </w:r>
    </w:p>
    <w:p>
      <w:pPr>
        <w:pStyle w:val="ListBullet"/>
      </w:pPr>
      <w:r>
        <w:t>Historical collapse evidence.</w:t>
      </w:r>
    </w:p>
    <w:p>
      <w:pPr>
        <w:pStyle w:val="ListBullet"/>
      </w:pPr>
      <w:r>
        <w:t>Source reliability.</w:t>
      </w:r>
    </w:p>
    <w:p>
      <w:pPr>
        <w:pStyle w:val="ListBullet"/>
      </w:pPr>
      <w:r>
        <w:t>Spatial relevance.</w:t>
      </w:r>
    </w:p>
    <w:p>
      <w:pPr>
        <w:pStyle w:val="ListBullet"/>
      </w:pPr>
      <w:r>
        <w:t>Collapse severity.</w:t>
      </w:r>
    </w:p>
    <w:p>
      <w:pPr>
        <w:pStyle w:val="ListBullet"/>
      </w:pPr>
      <w:r>
        <w:t>Trigger mechanism.</w:t>
      </w:r>
    </w:p>
    <w:p>
      <w:pPr>
        <w:pStyle w:val="ListBullet"/>
      </w:pPr>
      <w:r>
        <w:t>Cause similarity.</w:t>
      </w:r>
    </w:p>
    <w:p>
      <w:pPr>
        <w:pStyle w:val="ListBullet"/>
      </w:pPr>
      <w:r>
        <w:t>Territorial hazard context.</w:t>
      </w:r>
    </w:p>
    <w:p>
      <w:pPr>
        <w:pStyle w:val="ListBullet"/>
      </w:pPr>
      <w:r>
        <w:t>Public WMS overlays.</w:t>
      </w:r>
    </w:p>
    <w:p>
      <w:r>
        <w:br w:type="page"/>
      </w:r>
    </w:p>
    <w:p>
      <w:pPr>
        <w:pStyle w:val="Heading3"/>
      </w:pPr>
      <w:r>
        <w:t>3.5 Legenda dei punteggi e delle classi</w:t>
      </w:r>
    </w:p>
    <w:p>
      <w:r>
        <w:t>Ogni report Professional deve contenere una legenda. Le classi A/B/C e High/Critical devono essere leggibili anche da chi non conosce il modello ARCUS.</w:t>
      </w:r>
    </w:p>
    <w:tbl>
      <w:tblPr>
        <w:tblW w:type="auto" w:w="0"/>
        <w:tblLook w:firstColumn="1" w:firstRow="1" w:lastColumn="0" w:lastRow="0" w:noHBand="0" w:noVBand="1" w:val="04A0"/>
      </w:tblPr>
      <w:tblGrid>
        <w:gridCol w:w="5112"/>
        <w:gridCol w:w="5112"/>
      </w:tblGrid>
      <w:tr>
        <w:tc>
          <w:tcPr>
            <w:tcW w:type="dxa" w:w="5112"/>
            <w:shd w:fill="D9CEC1"/>
          </w:tcPr>
          <w:p>
            <w:r/>
            <w:r>
              <w:rPr>
                <w:b/>
                <w:sz w:val="18"/>
              </w:rPr>
              <w:t>Classe</w:t>
            </w:r>
          </w:p>
        </w:tc>
        <w:tc>
          <w:tcPr>
            <w:tcW w:type="dxa" w:w="5112"/>
            <w:shd w:fill="D9CEC1"/>
          </w:tcPr>
          <w:p>
            <w:r/>
            <w:r>
              <w:rPr>
                <w:b/>
                <w:sz w:val="18"/>
              </w:rPr>
              <w:t>Interpretazione</w:t>
            </w:r>
          </w:p>
        </w:tc>
      </w:tr>
      <w:tr>
        <w:tc>
          <w:tcPr>
            <w:tcW w:type="dxa" w:w="5112"/>
          </w:tcPr>
          <w:p>
            <w:r/>
            <w:r>
              <w:rPr>
                <w:b w:val="0"/>
                <w:sz w:val="18"/>
              </w:rPr>
              <w:t>A</w:t>
            </w:r>
          </w:p>
        </w:tc>
        <w:tc>
          <w:tcPr>
            <w:tcW w:type="dxa" w:w="5112"/>
          </w:tcPr>
          <w:p>
            <w:r/>
            <w:r>
              <w:rPr>
                <w:b w:val="0"/>
                <w:sz w:val="18"/>
              </w:rPr>
              <w:t>Alta affidabilità: più fonti, preferibilmente istituzionali o tecniche.</w:t>
            </w:r>
          </w:p>
        </w:tc>
      </w:tr>
      <w:tr>
        <w:tc>
          <w:tcPr>
            <w:tcW w:type="dxa" w:w="5112"/>
          </w:tcPr>
          <w:p>
            <w:r/>
            <w:r>
              <w:rPr>
                <w:b w:val="0"/>
                <w:sz w:val="18"/>
              </w:rPr>
              <w:t>B</w:t>
            </w:r>
          </w:p>
        </w:tc>
        <w:tc>
          <w:tcPr>
            <w:tcW w:type="dxa" w:w="5112"/>
          </w:tcPr>
          <w:p>
            <w:r/>
            <w:r>
              <w:rPr>
                <w:b w:val="0"/>
                <w:sz w:val="18"/>
              </w:rPr>
              <w:t>Affidabilità media: evento documentato ma con copertura o varietà fonti limitata.</w:t>
            </w:r>
          </w:p>
        </w:tc>
      </w:tr>
      <w:tr>
        <w:tc>
          <w:tcPr>
            <w:tcW w:type="dxa" w:w="5112"/>
          </w:tcPr>
          <w:p>
            <w:r/>
            <w:r>
              <w:rPr>
                <w:b w:val="0"/>
                <w:sz w:val="18"/>
              </w:rPr>
              <w:t>C</w:t>
            </w:r>
          </w:p>
        </w:tc>
        <w:tc>
          <w:tcPr>
            <w:tcW w:type="dxa" w:w="5112"/>
          </w:tcPr>
          <w:p>
            <w:r/>
            <w:r>
              <w:rPr>
                <w:b w:val="0"/>
                <w:sz w:val="18"/>
              </w:rPr>
              <w:t>Affidabilità limitata: evidenza locale, incompleta o da rafforzare.</w:t>
            </w:r>
          </w:p>
        </w:tc>
      </w:tr>
      <w:tr>
        <w:tc>
          <w:tcPr>
            <w:tcW w:type="dxa" w:w="5112"/>
          </w:tcPr>
          <w:p>
            <w:r/>
            <w:r>
              <w:rPr>
                <w:b w:val="0"/>
                <w:sz w:val="18"/>
              </w:rPr>
              <w:t>Critical</w:t>
            </w:r>
          </w:p>
        </w:tc>
        <w:tc>
          <w:tcPr>
            <w:tcW w:type="dxa" w:w="5112"/>
          </w:tcPr>
          <w:p>
            <w:r/>
            <w:r>
              <w:rPr>
                <w:b w:val="0"/>
                <w:sz w:val="18"/>
              </w:rPr>
              <w:t>Massima attenzione: forte evidenza storica e/o territoriale.</w:t>
            </w:r>
          </w:p>
        </w:tc>
      </w:tr>
      <w:tr>
        <w:tc>
          <w:tcPr>
            <w:tcW w:type="dxa" w:w="5112"/>
          </w:tcPr>
          <w:p>
            <w:r/>
            <w:r>
              <w:rPr>
                <w:b w:val="0"/>
                <w:sz w:val="18"/>
              </w:rPr>
              <w:t>High</w:t>
            </w:r>
          </w:p>
        </w:tc>
        <w:tc>
          <w:tcPr>
            <w:tcW w:type="dxa" w:w="5112"/>
          </w:tcPr>
          <w:p>
            <w:r/>
            <w:r>
              <w:rPr>
                <w:b w:val="0"/>
                <w:sz w:val="18"/>
              </w:rPr>
              <w:t>Attenzione elevata: evidenza significativa ma non necessariamente completa.</w:t>
            </w:r>
          </w:p>
        </w:tc>
      </w:tr>
      <w:tr>
        <w:tc>
          <w:tcPr>
            <w:tcW w:type="dxa" w:w="5112"/>
          </w:tcPr>
          <w:p>
            <w:r/>
            <w:r>
              <w:rPr>
                <w:b w:val="0"/>
                <w:sz w:val="18"/>
              </w:rPr>
              <w:t>Medium / Low</w:t>
            </w:r>
          </w:p>
        </w:tc>
        <w:tc>
          <w:tcPr>
            <w:tcW w:type="dxa" w:w="5112"/>
          </w:tcPr>
          <w:p>
            <w:r/>
            <w:r>
              <w:rPr>
                <w:b w:val="0"/>
                <w:sz w:val="18"/>
              </w:rPr>
              <w:t>Attenzione moderata o bassa, da leggere insieme ai dati disponibili.</w:t>
            </w:r>
          </w:p>
        </w:tc>
      </w:tr>
    </w:tbl>
    <w:p>
      <w:pPr>
        <w:pStyle w:val="Heading2"/>
      </w:pPr>
      <w:r>
        <w:t>4. Miglioramento dei Comparable Precedents</w:t>
      </w:r>
    </w:p>
    <w:p>
      <w:r>
        <w:t>La sezione è molto importante perché rappresenta uno dei principali elementi distintivi di ARCUS: il confronto tra un nuovo territorio e precedenti storici documentati. Tuttavia, se tutti gli eventi hanno similarity 100/100, il risultato sembra poco selettivo e meno credibile.</w:t>
      </w:r>
    </w:p>
    <w:p>
      <w:r>
        <w:t>La similarità dovrebbe essere scomposta in componenti:</w:t>
      </w:r>
    </w:p>
    <w:p>
      <w:pPr>
        <w:pStyle w:val="ListBullet"/>
      </w:pPr>
      <w:r>
        <w:t>Cause match.</w:t>
      </w:r>
    </w:p>
    <w:p>
      <w:pPr>
        <w:pStyle w:val="ListBullet"/>
      </w:pPr>
      <w:r>
        <w:t>Trigger match.</w:t>
      </w:r>
    </w:p>
    <w:p>
      <w:pPr>
        <w:pStyle w:val="ListBullet"/>
      </w:pPr>
      <w:r>
        <w:t>Severity match.</w:t>
      </w:r>
    </w:p>
    <w:p>
      <w:pPr>
        <w:pStyle w:val="ListBullet"/>
      </w:pPr>
      <w:r>
        <w:t>Territorial context.</w:t>
      </w:r>
    </w:p>
    <w:p>
      <w:pPr>
        <w:pStyle w:val="ListBullet"/>
      </w:pPr>
      <w:r>
        <w:t>Distance relevance.</w:t>
      </w:r>
    </w:p>
    <w:p>
      <w:pPr>
        <w:pStyle w:val="ListBullet"/>
      </w:pPr>
      <w:r>
        <w:t>Source reliability.</w:t>
      </w:r>
    </w:p>
    <w:p>
      <w:pPr>
        <w:pStyle w:val="ListBullet"/>
      </w:pPr>
      <w:r>
        <w:t>Hazard layer overlap.</w:t>
      </w:r>
    </w:p>
    <w:p>
      <w:r>
        <w:br w:type="page"/>
      </w:r>
    </w:p>
    <w:p>
      <w:r>
        <w:t>Esempio di tabella più credibile:</w:t>
      </w:r>
    </w:p>
    <w:tbl>
      <w:tblPr>
        <w:tblW w:type="auto" w:w="0"/>
        <w:tblLook w:firstColumn="1" w:firstRow="1" w:lastColumn="0" w:lastRow="0" w:noHBand="0" w:noVBand="1" w:val="04A0"/>
      </w:tblPr>
      <w:tblGrid>
        <w:gridCol w:w="2556"/>
        <w:gridCol w:w="2556"/>
        <w:gridCol w:w="2556"/>
        <w:gridCol w:w="2556"/>
      </w:tblGrid>
      <w:tr>
        <w:tc>
          <w:tcPr>
            <w:tcW w:type="dxa" w:w="2556"/>
            <w:shd w:fill="D9CEC1"/>
          </w:tcPr>
          <w:p>
            <w:r/>
            <w:r>
              <w:rPr>
                <w:b/>
                <w:sz w:val="18"/>
              </w:rPr>
              <w:t>Similarity</w:t>
            </w:r>
          </w:p>
        </w:tc>
        <w:tc>
          <w:tcPr>
            <w:tcW w:type="dxa" w:w="2556"/>
            <w:shd w:fill="D9CEC1"/>
          </w:tcPr>
          <w:p>
            <w:r/>
            <w:r>
              <w:rPr>
                <w:b/>
                <w:sz w:val="18"/>
              </w:rPr>
              <w:t>ID</w:t>
            </w:r>
          </w:p>
        </w:tc>
        <w:tc>
          <w:tcPr>
            <w:tcW w:type="dxa" w:w="2556"/>
            <w:shd w:fill="D9CEC1"/>
          </w:tcPr>
          <w:p>
            <w:r/>
            <w:r>
              <w:rPr>
                <w:b/>
                <w:sz w:val="18"/>
              </w:rPr>
              <w:t>Municipality</w:t>
            </w:r>
          </w:p>
        </w:tc>
        <w:tc>
          <w:tcPr>
            <w:tcW w:type="dxa" w:w="2556"/>
            <w:shd w:fill="D9CEC1"/>
          </w:tcPr>
          <w:p>
            <w:r/>
            <w:r>
              <w:rPr>
                <w:b/>
                <w:sz w:val="18"/>
              </w:rPr>
              <w:t>Reason</w:t>
            </w:r>
          </w:p>
        </w:tc>
      </w:tr>
      <w:tr>
        <w:tc>
          <w:tcPr>
            <w:tcW w:type="dxa" w:w="2556"/>
          </w:tcPr>
          <w:p>
            <w:r/>
            <w:r>
              <w:rPr>
                <w:b w:val="0"/>
                <w:sz w:val="18"/>
              </w:rPr>
              <w:t>91/100</w:t>
            </w:r>
          </w:p>
        </w:tc>
        <w:tc>
          <w:tcPr>
            <w:tcW w:type="dxa" w:w="2556"/>
          </w:tcPr>
          <w:p>
            <w:r/>
            <w:r>
              <w:rPr>
                <w:b w:val="0"/>
                <w:sz w:val="18"/>
              </w:rPr>
              <w:t>B11.10.02</w:t>
            </w:r>
          </w:p>
        </w:tc>
        <w:tc>
          <w:tcPr>
            <w:tcW w:type="dxa" w:w="2556"/>
          </w:tcPr>
          <w:p>
            <w:r/>
            <w:r>
              <w:rPr>
                <w:b w:val="0"/>
                <w:sz w:val="18"/>
              </w:rPr>
              <w:t>Aulla</w:t>
            </w:r>
          </w:p>
        </w:tc>
        <w:tc>
          <w:tcPr>
            <w:tcW w:type="dxa" w:w="2556"/>
          </w:tcPr>
          <w:p>
            <w:r/>
            <w:r>
              <w:rPr>
                <w:b w:val="0"/>
                <w:sz w:val="18"/>
              </w:rPr>
              <w:t>Same cause, same trigger, same province, total collapse.</w:t>
            </w:r>
          </w:p>
        </w:tc>
      </w:tr>
      <w:tr>
        <w:tc>
          <w:tcPr>
            <w:tcW w:type="dxa" w:w="2556"/>
          </w:tcPr>
          <w:p>
            <w:r/>
            <w:r>
              <w:rPr>
                <w:b w:val="0"/>
                <w:sz w:val="18"/>
              </w:rPr>
              <w:t>84/100</w:t>
            </w:r>
          </w:p>
        </w:tc>
        <w:tc>
          <w:tcPr>
            <w:tcW w:type="dxa" w:w="2556"/>
          </w:tcPr>
          <w:p>
            <w:r/>
            <w:r>
              <w:rPr>
                <w:b w:val="0"/>
                <w:sz w:val="18"/>
              </w:rPr>
              <w:t>B12.11.01</w:t>
            </w:r>
          </w:p>
        </w:tc>
        <w:tc>
          <w:tcPr>
            <w:tcW w:type="dxa" w:w="2556"/>
          </w:tcPr>
          <w:p>
            <w:r/>
            <w:r>
              <w:rPr>
                <w:b w:val="0"/>
                <w:sz w:val="18"/>
              </w:rPr>
              <w:t>Aulla</w:t>
            </w:r>
          </w:p>
        </w:tc>
        <w:tc>
          <w:tcPr>
            <w:tcW w:type="dxa" w:w="2556"/>
          </w:tcPr>
          <w:p>
            <w:r/>
            <w:r>
              <w:rPr>
                <w:b w:val="0"/>
                <w:sz w:val="18"/>
              </w:rPr>
              <w:t>Same cause and severity, partially different local context.</w:t>
            </w:r>
          </w:p>
        </w:tc>
      </w:tr>
      <w:tr>
        <w:tc>
          <w:tcPr>
            <w:tcW w:type="dxa" w:w="2556"/>
          </w:tcPr>
          <w:p>
            <w:r/>
            <w:r>
              <w:rPr>
                <w:b w:val="0"/>
                <w:sz w:val="18"/>
              </w:rPr>
              <w:t>76/100</w:t>
            </w:r>
          </w:p>
        </w:tc>
        <w:tc>
          <w:tcPr>
            <w:tcW w:type="dxa" w:w="2556"/>
          </w:tcPr>
          <w:p>
            <w:r/>
            <w:r>
              <w:rPr>
                <w:b w:val="0"/>
                <w:sz w:val="18"/>
              </w:rPr>
              <w:t>B13.10.02</w:t>
            </w:r>
          </w:p>
        </w:tc>
        <w:tc>
          <w:tcPr>
            <w:tcW w:type="dxa" w:w="2556"/>
          </w:tcPr>
          <w:p>
            <w:r/>
            <w:r>
              <w:rPr>
                <w:b w:val="0"/>
                <w:sz w:val="18"/>
              </w:rPr>
              <w:t>Firenzuola</w:t>
            </w:r>
          </w:p>
        </w:tc>
        <w:tc>
          <w:tcPr>
            <w:tcW w:type="dxa" w:w="2556"/>
          </w:tcPr>
          <w:p>
            <w:r/>
            <w:r>
              <w:rPr>
                <w:b w:val="0"/>
                <w:sz w:val="18"/>
              </w:rPr>
              <w:t>Same cause family, different territory and source context.</w:t>
            </w:r>
          </w:p>
        </w:tc>
      </w:tr>
    </w:tbl>
    <w:p>
      <w:pPr>
        <w:pStyle w:val="Heading2"/>
      </w:pPr>
      <w:r>
        <w:t>5. Miglioramento delle Recommendations</w:t>
      </w:r>
    </w:p>
    <w:p>
      <w:r>
        <w:t>Le raccomandazioni attuali sono corrette ma troppo generiche. Per un cliente Professional devono sembrare generate per il territorio selezionato, non standard.</w:t>
      </w:r>
    </w:p>
    <w:p>
      <w:r>
        <w:t>Esempi di raccomandazioni più operative:</w:t>
      </w:r>
    </w:p>
    <w:p>
      <w:r>
        <w:t>1. Prioritize hydraulic context verification for any planned river crossing in the selected area.</w:t>
      </w:r>
    </w:p>
    <w:p>
      <w:r>
        <w:t>2. Review bridge foundation exposure and scour-sensitive configurations during preliminary design.</w:t>
      </w:r>
    </w:p>
    <w:p>
      <w:r>
        <w:t>3. Compare the planned intervention with documented hydraulic-triggered collapses in Aulla, Filattiera and Pontremoli.</w:t>
      </w:r>
    </w:p>
    <w:p>
      <w:r>
        <w:t>4. Use this briefing as a preliminary screening document before commissioning site-specific hydraulic, geotechnical or structural investigations.</w:t>
      </w:r>
    </w:p>
    <w:p>
      <w:pPr>
        <w:pStyle w:val="Heading2"/>
      </w:pPr>
      <w:r>
        <w:t>6. Struttura finale consigliata del Territory Briefing</w:t>
      </w:r>
    </w:p>
    <w:p>
      <w:r>
        <w:t>1. Cover: ARCUS / Path 01 — New Territory / Territory Briefing.</w:t>
      </w:r>
    </w:p>
    <w:p>
      <w:r>
        <w:t>2. Executive Summary: 3-5 righe con risultato principale.</w:t>
      </w:r>
    </w:p>
    <w:p>
      <w:r>
        <w:t>3. Selected Area &amp; Project Context: perimetro, buffer, scenario, data generazione.</w:t>
      </w:r>
    </w:p>
    <w:p>
      <w:r>
        <w:t>4. How to Read This Report: cosa fa ARCUS e cosa non sostituisce.</w:t>
      </w:r>
    </w:p>
    <w:p>
      <w:r>
        <w:t>5. Key Indicators: Priority Index, Evidence Reliability, Exposure/Attention Indicator, Historical Events.</w:t>
      </w:r>
    </w:p>
    <w:p>
      <w:r>
        <w:t>6. Hazard Context: hydraulic, landslide, seismic, historical collapse density.</w:t>
      </w:r>
    </w:p>
    <w:p>
      <w:r>
        <w:t>7. Historical Evidence: cause distribution, severity, trigger, seasonality.</w:t>
      </w:r>
    </w:p>
    <w:p>
      <w:r>
        <w:t>8. Priority Events: eventi principali documentati nel territorio.</w:t>
      </w:r>
    </w:p>
    <w:p>
      <w:r>
        <w:t>9. Comparable Precedents: casi simili con motivazioni dettagliate.</w:t>
      </w:r>
    </w:p>
    <w:p>
      <w:r>
        <w:t>10. Interpretation: cosa significa per un nuovo intervento.</w:t>
      </w:r>
    </w:p>
    <w:p>
      <w:r>
        <w:t>11. Recommendations: azioni successive consigliate.</w:t>
      </w:r>
    </w:p>
    <w:p>
      <w:r>
        <w:t>12. National Benchmark: confronto con media ARCUS.</w:t>
      </w:r>
    </w:p>
    <w:p>
      <w:r>
        <w:t>13. Methodology &amp; Limitations: scoring logic, fonti, limiti, disclaimer.</w:t>
      </w:r>
    </w:p>
    <w:p>
      <w:pPr>
        <w:pStyle w:val="Heading2"/>
      </w:pPr>
      <w:r>
        <w:t>7. Output finale ideale per Path 01</w:t>
      </w:r>
    </w:p>
    <w:p>
      <w:r>
        <w:t>Il report deve rispondere chiaramente a queste domande:</w:t>
      </w:r>
    </w:p>
    <w:p>
      <w:pPr>
        <w:pStyle w:val="ListBullet"/>
      </w:pPr>
      <w:r>
        <w:t>Dove sto lavorando?</w:t>
      </w:r>
    </w:p>
    <w:p>
      <w:pPr>
        <w:pStyle w:val="ListBullet"/>
      </w:pPr>
      <w:r>
        <w:t>Che contesto territoriale ho?</w:t>
      </w:r>
    </w:p>
    <w:p>
      <w:pPr>
        <w:pStyle w:val="ListBullet"/>
      </w:pPr>
      <w:r>
        <w:t>Quali hazard pubblici sono rilevanti?</w:t>
      </w:r>
    </w:p>
    <w:p>
      <w:pPr>
        <w:pStyle w:val="ListBullet"/>
      </w:pPr>
      <w:r>
        <w:t>Quali collassi storici esistono?</w:t>
      </w:r>
    </w:p>
    <w:p>
      <w:pPr>
        <w:pStyle w:val="ListBullet"/>
      </w:pPr>
      <w:r>
        <w:t>Quali precedenti sono comparabili?</w:t>
      </w:r>
    </w:p>
    <w:p>
      <w:pPr>
        <w:pStyle w:val="ListBullet"/>
      </w:pPr>
      <w:r>
        <w:t>Perché ARCUS segnala attenzione?</w:t>
      </w:r>
    </w:p>
    <w:p>
      <w:pPr>
        <w:pStyle w:val="ListBullet"/>
      </w:pPr>
      <w:r>
        <w:t>Quali verifiche tecniche successive sono consigliate?</w:t>
      </w:r>
    </w:p>
    <w:p>
      <w:pPr>
        <w:pStyle w:val="ListBullet"/>
      </w:pPr>
      <w:r>
        <w:t>Quali dati e limiti supportano il briefing?</w:t>
      </w:r>
    </w:p>
    <w:p>
      <w:pPr>
        <w:pStyle w:val="Heading2"/>
      </w:pPr>
      <w:r>
        <w:t>8. Priorità di sviluppo</w:t>
      </w:r>
    </w:p>
    <w:p>
      <w:r>
        <w:t>1. Eliminare qualsiasi undefined, NaN o campo vuoto non controllato.</w:t>
      </w:r>
    </w:p>
    <w:p>
      <w:r>
        <w:t>2. Aggiungere Executive Summary.</w:t>
      </w:r>
    </w:p>
    <w:p>
      <w:r>
        <w:t>3. Aggiungere Selected Area &amp; Project Context.</w:t>
      </w:r>
    </w:p>
    <w:p>
      <w:r>
        <w:t>4. Aggiungere How to Read This Report.</w:t>
      </w:r>
    </w:p>
    <w:p>
      <w:r>
        <w:t>5. Aggiungere legenda dei punteggi e delle classi.</w:t>
      </w:r>
    </w:p>
    <w:p>
      <w:r>
        <w:t>6. Rinominare gli indicatori più rischiosi: Vulnerability, Risk Score, Structural Vulnerability.</w:t>
      </w:r>
    </w:p>
    <w:p>
      <w:r>
        <w:t>7. Migliorare Comparable Precedents con similarità scomposta e punteggi più credibili.</w:t>
      </w:r>
    </w:p>
    <w:p>
      <w:r>
        <w:t>8. Rendere Recommendations specifiche per il territorio.</w:t>
      </w:r>
    </w:p>
    <w:p>
      <w:r>
        <w:t>9. Aggiungere Methodology Snapshot.</w:t>
      </w:r>
    </w:p>
    <w:p>
      <w:r>
        <w:t>10. Aggiungere appendice fonti ed export GIS/CSV chiaramente descritti.</w:t>
      </w:r>
    </w:p>
    <w:p>
      <w:pPr>
        <w:pStyle w:val="Heading2"/>
      </w:pPr>
      <w:r>
        <w:t>9. Messaggio strategico</w:t>
      </w:r>
    </w:p>
    <w:p>
      <w:r>
        <w:rPr>
          <w:b/>
        </w:rPr>
        <w:t>Il Territory Briefing deve comunicare che ARCUS Professional non produce una sentenza tecnica automatica, ma un documento di screening, prioritizzazione e intelligence territoriale basato su evidenze storiche, hazard pubblici, fonti e confronti con precedenti documentati.</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ARCUS Professional — Path 01 Territory Briefing Output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