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49040"/>
          <w:sz w:val="52"/>
        </w:rPr>
        <w:t>ARCUS</w:t>
      </w:r>
    </w:p>
    <w:p>
      <w:pPr>
        <w:jc w:val="center"/>
      </w:pPr>
      <w:r>
        <w:rPr>
          <w:b/>
          <w:color w:val="7A6548"/>
          <w:sz w:val="18"/>
        </w:rPr>
        <w:t>PATH 02 - EXISTING ASSETS</w:t>
      </w:r>
    </w:p>
    <w:p>
      <w:pPr>
        <w:pStyle w:val="Title"/>
        <w:jc w:val="center"/>
      </w:pPr>
      <w:r>
        <w:t>Operational Watchlist Output Review</w:t>
      </w:r>
    </w:p>
    <w:p>
      <w:pPr>
        <w:jc w:val="center"/>
      </w:pPr>
      <w:r>
        <w:rPr>
          <w:b/>
        </w:rPr>
        <w:t>Review of the uploaded Path 02 report and recommendations to make the output clearer, more defensible and suitable for professional clients.</w:t>
      </w:r>
    </w:p>
    <w:p>
      <w:pPr>
        <w:pStyle w:val="Heading1"/>
      </w:pPr>
      <w:r>
        <w:t>1. Overall Assessment</w:t>
      </w:r>
    </w:p>
    <w:p>
      <w:r>
        <w:t>The Path 02 report is moving in the right direction because it is not simply a map export: it produces an operational watchlist, asset screening, hazard exposure and inspection-oriented outputs. This is the correct positioning for ARCUS PROFESSIONAL as an asset prioritization workspace.</w:t>
      </w:r>
    </w:p>
    <w:p>
      <w:r>
        <w:t>However, for important clients the current version must become more traceable, asset-specific and explainable. Several outputs are currently too generic or potentially confusing, especially because the report mixes uploaded assets with historical collapse events without clearly explaining the relationship between them.</w:t>
      </w:r>
    </w:p>
    <w:tbl>
      <w:tblPr>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C49040"/>
            <w:tcBorders>
              <w:top w:val="single" w:sz="4" w:space="0" w:color="D9CEC1"/>
              <w:left w:val="single" w:sz="4" w:space="0" w:color="D9CEC1"/>
              <w:bottom w:val="single" w:sz="4" w:space="0" w:color="D9CEC1"/>
              <w:right w:val="single" w:sz="4" w:space="0" w:color="D9CEC1"/>
            </w:tcBorders>
          </w:tcPr>
          <w:p>
            <w:r/>
            <w:r>
              <w:rPr>
                <w:b/>
                <w:color w:val="15110F"/>
                <w:sz w:val="17"/>
              </w:rPr>
              <w:t>Area</w:t>
            </w:r>
          </w:p>
        </w:tc>
        <w:tc>
          <w:tcPr>
            <w:tcW w:type="dxa" w:w="3456"/>
            <w:vAlign w:val="top"/>
            <w:shd w:fill="C49040"/>
            <w:tcBorders>
              <w:top w:val="single" w:sz="4" w:space="0" w:color="D9CEC1"/>
              <w:left w:val="single" w:sz="4" w:space="0" w:color="D9CEC1"/>
              <w:bottom w:val="single" w:sz="4" w:space="0" w:color="D9CEC1"/>
              <w:right w:val="single" w:sz="4" w:space="0" w:color="D9CEC1"/>
            </w:tcBorders>
          </w:tcPr>
          <w:p>
            <w:r/>
            <w:r>
              <w:rPr>
                <w:b/>
                <w:color w:val="15110F"/>
                <w:sz w:val="17"/>
              </w:rPr>
              <w:t>Current status</w:t>
            </w:r>
          </w:p>
        </w:tc>
        <w:tc>
          <w:tcPr>
            <w:tcW w:type="dxa" w:w="3456"/>
            <w:vAlign w:val="top"/>
            <w:shd w:fill="C49040"/>
            <w:tcBorders>
              <w:top w:val="single" w:sz="4" w:space="0" w:color="D9CEC1"/>
              <w:left w:val="single" w:sz="4" w:space="0" w:color="D9CEC1"/>
              <w:bottom w:val="single" w:sz="4" w:space="0" w:color="D9CEC1"/>
              <w:right w:val="single" w:sz="4" w:space="0" w:color="D9CEC1"/>
            </w:tcBorders>
          </w:tcPr>
          <w:p>
            <w:r/>
            <w:r>
              <w:rPr>
                <w:b/>
                <w:color w:val="15110F"/>
                <w:sz w:val="17"/>
              </w:rPr>
              <w:t>Recommended direction</w:t>
            </w:r>
          </w:p>
        </w:tc>
      </w:tr>
      <w:tr>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Product direction</w:t>
            </w:r>
          </w:p>
        </w:tc>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Correct: operational watchlist rather than simple atlas export.</w:t>
            </w:r>
          </w:p>
        </w:tc>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Keep the report as a decision-support output for asset prioritization.</w:t>
            </w:r>
          </w:p>
        </w:tc>
      </w:tr>
      <w:tr>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Professional credibility</w:t>
            </w:r>
          </w:p>
        </w:tc>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Good visual identity and clear sections.</w:t>
            </w:r>
          </w:p>
        </w:tc>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Add stronger methodology, input validation and explainable asset-level reasons.</w:t>
            </w:r>
          </w:p>
        </w:tc>
      </w:tr>
      <w:tr>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Main weakness</w:t>
            </w:r>
          </w:p>
        </w:tc>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Some numbers and tables are not yet self-explanatory.</w:t>
            </w:r>
          </w:p>
        </w:tc>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Every score must show why it was assigned and what action it implies.</w:t>
            </w:r>
          </w:p>
        </w:tc>
      </w:tr>
      <w:tr>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Critical issue</w:t>
            </w:r>
          </w:p>
        </w:tc>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Uploaded assets and historical inspection candidates are not clearly separated.</w:t>
            </w:r>
          </w:p>
        </w:tc>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Separate client assets, comparable events and territorial evidence into different sections.</w:t>
            </w:r>
          </w:p>
        </w:tc>
      </w:tr>
    </w:tbl>
    <w:p>
      <w:pPr>
        <w:pStyle w:val="Heading1"/>
      </w:pPr>
      <w:r>
        <w:t>2. What Works Well</w:t>
      </w:r>
    </w:p>
    <w:p>
      <w:pPr>
        <w:pStyle w:val="ListBullet"/>
      </w:pPr>
      <w:r>
        <w:t>The report title, Path 02 label and watchlist concept are coherent with the Existing Assets workflow.</w:t>
      </w:r>
    </w:p>
    <w:p>
      <w:pPr>
        <w:pStyle w:val="ListBullet"/>
      </w:pPr>
      <w:r>
        <w:t>The KPI block is useful because it immediately communicates assessed assets, priority assets and monitoring signals.</w:t>
      </w:r>
    </w:p>
    <w:p>
      <w:pPr>
        <w:pStyle w:val="ListBullet"/>
      </w:pPr>
      <w:r>
        <w:t>The inventory summary gives a first indication of completeness and technical gaps.</w:t>
      </w:r>
    </w:p>
    <w:p>
      <w:pPr>
        <w:pStyle w:val="ListBullet"/>
      </w:pPr>
      <w:r>
        <w:t>The territorial hazard exposure table helps connect uploaded assets with broader territorial hazard context.</w:t>
      </w:r>
    </w:p>
    <w:p>
      <w:pPr>
        <w:pStyle w:val="ListBullet"/>
      </w:pPr>
      <w:r>
        <w:t>The asset screening table is the right core component for this path because the client wants to know which assets require attention first.</w:t>
      </w:r>
    </w:p>
    <w:p>
      <w:pPr>
        <w:pStyle w:val="ListBullet"/>
      </w:pPr>
      <w:r>
        <w:t>The scoring logic section is useful and should remain, but it needs to become more specific and transparent.</w:t>
      </w:r>
    </w:p>
    <w:p>
      <w:pPr>
        <w:pStyle w:val="Heading1"/>
      </w:pPr>
      <w:r>
        <w:t>3. Issues to Fix Before Considering the Output Professional-Grade</w:t>
      </w:r>
    </w:p>
    <w:p>
      <w:pPr>
        <w:pStyle w:val="Heading2"/>
      </w:pPr>
      <w:r>
        <w:t>3.1 The report title says Torino, but the uploaded assets appear geographically mixed</w:t>
      </w:r>
    </w:p>
    <w:p>
      <w:r>
        <w:t>The asset list includes names such as Ponte sul Tevere, Ponte sul Piave, Ponte sull Arno, Viadotto Val Polcevera, Ponte sul Ticino and Ponte sul Basento. This creates confusion if the report is called Operational Watchlist: Torino. A professional client needs to understand whether Torino is the analysis territory, the inventory owner, or only an example label.</w:t>
      </w:r>
    </w:p>
    <w:p>
      <w:pPr>
        <w:pStyle w:val="Heading2"/>
      </w:pPr>
      <w:r>
        <w:t>3.2 Province is missing for all uploaded assets</w:t>
      </w:r>
    </w:p>
    <w:p>
      <w:r>
        <w:t>In the asset screening table, the Province field is shown as “-” for every asset. This conflicts with the inventory quality being 100/100. If province, municipality or region are missing, the quality score should not be perfect, or the report should clearly state that administrative attributes were inferred from coordinates.</w:t>
      </w:r>
    </w:p>
    <w:p>
      <w:pPr>
        <w:pStyle w:val="Heading2"/>
      </w:pPr>
      <w:r>
        <w:t>3.3 Too many assets are classified as Priority 1</w:t>
      </w:r>
    </w:p>
    <w:p>
      <w:r>
        <w:t>Seven out of eight uploaded assets are Priority 1. This reduces prioritization value because the client still does not know what to inspect first. The platform should create a clearer ranking and distinguish Priority 1, Priority 2, Watch, Baseline and Data Gap.</w:t>
      </w:r>
    </w:p>
    <w:p>
      <w:pPr>
        <w:pStyle w:val="Heading2"/>
      </w:pPr>
      <w:r>
        <w:t>3.4 Monitoring signals are not explained</w:t>
      </w:r>
    </w:p>
    <w:p>
      <w:r>
        <w:t>The KPI “Monitoring signals: 42” is interesting but unclear. The report should explain what counts as a signal: nearby collapses, hydraulic exposure, total-collapse precedents, human impact, poor evidence, missing data, or multi-hazard exposure.</w:t>
      </w:r>
    </w:p>
    <w:p>
      <w:pPr>
        <w:pStyle w:val="Heading2"/>
      </w:pPr>
      <w:r>
        <w:t>3.5 Inspection Candidates table is confusing</w:t>
      </w:r>
    </w:p>
    <w:p>
      <w:r>
        <w:t>The table lists ARCUS historical event IDs such as B00.10.15 and B00.10.03, not uploaded client assets. If these are historical collapse precedents, the section should not be called Inspection Candidates. If they are used to support asset prioritization, the table must show which uploaded asset each event is connected to.</w:t>
      </w:r>
    </w:p>
    <w:p>
      <w:pPr>
        <w:pStyle w:val="Heading2"/>
      </w:pPr>
      <w:r>
        <w:t>3.6 “Structural vulnerability exposure” is risky terminology</w:t>
      </w:r>
    </w:p>
    <w:p>
      <w:r>
        <w:t>This expression may suggest that ARCUS has performed a direct structural vulnerability assessment of the uploaded assets. Unless asset-specific structural diagnostics are available, use safer terms such as “Failure precedent exposure” or “Historical structural failure context”.</w:t>
      </w:r>
    </w:p>
    <w:p>
      <w:pPr>
        <w:pStyle w:val="Heading2"/>
      </w:pPr>
      <w:r>
        <w:t>3.7 Asset-level reasoning is missing</w:t>
      </w:r>
    </w:p>
    <w:p>
      <w:r>
        <w:t>The current table gives asset, priority, top cause and score, but not why the asset received that score. A professional watchlist must show the drivers behind the prioritization.</w:t>
      </w:r>
    </w:p>
    <w:p>
      <w:pPr>
        <w:pStyle w:val="Heading2"/>
      </w:pPr>
      <w:r>
        <w:t>3.8 Scoring logic is too generic</w:t>
      </w:r>
    </w:p>
    <w:p>
      <w:r>
        <w:t>The scoring logic table explains broad model families, but it does not explain the actual thresholds, weighting logic, confidence levels or limitations used in the report.</w:t>
      </w:r>
    </w:p>
    <w:p>
      <w:pPr>
        <w:pStyle w:val="Heading1"/>
      </w:pPr>
      <w:r>
        <w:t>4. Recommended Report Structure for Path 02</w:t>
      </w:r>
    </w:p>
    <w:p>
      <w:r>
        <w:t>The Path 02 report should be reorganized around the client inventory. The client should immediately understand what was uploaded, how it was validated, how ARCUS enriched it, why assets were prioritized, and what should be done next.</w:t>
      </w:r>
    </w:p>
    <w:tbl>
      <w:tblPr>
        <w:tblW w:type="auto" w:w="0"/>
        <w:jc w:val="center"/>
        <w:tblLayout w:type="autofit"/>
        <w:tblLook w:firstColumn="1" w:firstRow="1" w:lastColumn="0" w:lastRow="0" w:noHBand="0" w:noVBand="1" w:val="04A0"/>
      </w:tblPr>
      <w:tblGrid>
        <w:gridCol w:w="5184"/>
        <w:gridCol w:w="5184"/>
      </w:tblGrid>
      <w:tr>
        <w:tc>
          <w:tcPr>
            <w:tcW w:type="dxa" w:w="5184"/>
            <w:vAlign w:val="top"/>
            <w:shd w:fill="C49040"/>
            <w:tcBorders>
              <w:top w:val="single" w:sz="4" w:space="0" w:color="D9CEC1"/>
              <w:left w:val="single" w:sz="4" w:space="0" w:color="D9CEC1"/>
              <w:bottom w:val="single" w:sz="4" w:space="0" w:color="D9CEC1"/>
              <w:right w:val="single" w:sz="4" w:space="0" w:color="D9CEC1"/>
            </w:tcBorders>
          </w:tcPr>
          <w:p>
            <w:r/>
            <w:r>
              <w:rPr>
                <w:b/>
                <w:color w:val="15110F"/>
                <w:sz w:val="17"/>
              </w:rPr>
              <w:t>Section</w:t>
            </w:r>
          </w:p>
        </w:tc>
        <w:tc>
          <w:tcPr>
            <w:tcW w:type="dxa" w:w="5184"/>
            <w:vAlign w:val="top"/>
            <w:shd w:fill="C49040"/>
            <w:tcBorders>
              <w:top w:val="single" w:sz="4" w:space="0" w:color="D9CEC1"/>
              <w:left w:val="single" w:sz="4" w:space="0" w:color="D9CEC1"/>
              <w:bottom w:val="single" w:sz="4" w:space="0" w:color="D9CEC1"/>
              <w:right w:val="single" w:sz="4" w:space="0" w:color="D9CEC1"/>
            </w:tcBorders>
          </w:tcPr>
          <w:p>
            <w:r/>
            <w:r>
              <w:rPr>
                <w:b/>
                <w:color w:val="15110F"/>
                <w:sz w:val="17"/>
              </w:rPr>
              <w:t>Purpose</w:t>
            </w:r>
          </w:p>
        </w:tc>
      </w:tr>
      <w:tr>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Cover</w:t>
            </w:r>
          </w:p>
        </w:tc>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Report name, path, inventory name, generation date and client/project label.</w:t>
            </w:r>
          </w:p>
        </w:tc>
      </w:tr>
      <w:tr>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01 / Executive Summary</w:t>
            </w:r>
          </w:p>
        </w:tc>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3-5 lines explaining the main result, number of assets, dominant exposure and top priorities.</w:t>
            </w:r>
          </w:p>
        </w:tc>
      </w:tr>
      <w:tr>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02 / Uploaded Inventory &amp; Validation</w:t>
            </w:r>
          </w:p>
        </w:tc>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Input file, number of assets, geocoding quality, missing fields, duplicates and coordinate validation.</w:t>
            </w:r>
          </w:p>
        </w:tc>
      </w:tr>
      <w:tr>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03 / Key Indicators</w:t>
            </w:r>
          </w:p>
        </w:tc>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Assessed assets, Priority 1/2/Watch/Baseline, evidence level and monitoring signals.</w:t>
            </w:r>
          </w:p>
        </w:tc>
      </w:tr>
      <w:tr>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04 / Territorial Exposure Context</w:t>
            </w:r>
          </w:p>
        </w:tc>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Hydraulic, landslide, seismic and historical failure context around uploaded assets.</w:t>
            </w:r>
          </w:p>
        </w:tc>
      </w:tr>
      <w:tr>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05 / Asset Screening Table</w:t>
            </w:r>
          </w:p>
        </w:tc>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Ranked client assets with priority, score, driver, confidence and recommended next action.</w:t>
            </w:r>
          </w:p>
        </w:tc>
      </w:tr>
      <w:tr>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06 / Asset-Level Evidence</w:t>
            </w:r>
          </w:p>
        </w:tc>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For each priority asset, show comparable events, nearby historical collapses and exposure reasons.</w:t>
            </w:r>
          </w:p>
        </w:tc>
      </w:tr>
      <w:tr>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07 / Historical Precedents</w:t>
            </w:r>
          </w:p>
        </w:tc>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Historical ARCUS events supporting the screening, clearly separated from client assets.</w:t>
            </w:r>
          </w:p>
        </w:tc>
      </w:tr>
      <w:tr>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08 / Recommended Actions</w:t>
            </w:r>
          </w:p>
        </w:tc>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Inspection, data completion, hydraulic checks, documentary review or advanced assessment.</w:t>
            </w:r>
          </w:p>
        </w:tc>
      </w:tr>
      <w:tr>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09 / Exports &amp; Appendices</w:t>
            </w:r>
          </w:p>
        </w:tc>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Excel watchlist, GIS export, source appendix and methodology.</w:t>
            </w:r>
          </w:p>
        </w:tc>
      </w:tr>
      <w:tr>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10 / Methodology &amp; Limitations</w:t>
            </w:r>
          </w:p>
        </w:tc>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How the priority indicators were generated and what the report does not certify.</w:t>
            </w:r>
          </w:p>
        </w:tc>
      </w:tr>
    </w:tbl>
    <w:p>
      <w:pPr>
        <w:pStyle w:val="Heading1"/>
      </w:pPr>
      <w:r>
        <w:t>5. What the Client Should See in Each Main Section</w:t>
      </w:r>
    </w:p>
    <w:p>
      <w:pPr>
        <w:pStyle w:val="Heading2"/>
      </w:pPr>
      <w:r>
        <w:t>Executive Summary</w:t>
      </w:r>
    </w:p>
    <w:p>
      <w:pPr>
        <w:pStyle w:val="ListBullet"/>
      </w:pPr>
      <w:r>
        <w:t>How many assets were uploaded and assessed.</w:t>
      </w:r>
    </w:p>
    <w:p>
      <w:pPr>
        <w:pStyle w:val="ListBullet"/>
      </w:pPr>
      <w:r>
        <w:t>How many assets require high attention.</w:t>
      </w:r>
    </w:p>
    <w:p>
      <w:pPr>
        <w:pStyle w:val="ListBullet"/>
      </w:pPr>
      <w:r>
        <w:t>The dominant exposure driver, for example hydraulic exposure.</w:t>
      </w:r>
    </w:p>
    <w:p>
      <w:pPr>
        <w:pStyle w:val="ListBullet"/>
      </w:pPr>
      <w:r>
        <w:t>Whether the inventory is complete or has data gaps.</w:t>
      </w:r>
    </w:p>
    <w:p>
      <w:pPr>
        <w:pStyle w:val="ListBullet"/>
      </w:pPr>
      <w:r>
        <w:t>A clear statement that this is a screening and prioritization report, not a structural safety certification.</w:t>
      </w:r>
    </w:p>
    <w:p>
      <w:pPr>
        <w:pStyle w:val="Heading2"/>
      </w:pPr>
      <w:r>
        <w:t>Uploaded Inventory &amp; Validation</w:t>
      </w:r>
    </w:p>
    <w:p>
      <w:pPr>
        <w:pStyle w:val="ListBullet"/>
      </w:pPr>
      <w:r>
        <w:t>Original file name and upload date.</w:t>
      </w:r>
    </w:p>
    <w:p>
      <w:pPr>
        <w:pStyle w:val="ListBullet"/>
      </w:pPr>
      <w:r>
        <w:t>Number of assets uploaded, assessed, excluded and flagged.</w:t>
      </w:r>
    </w:p>
    <w:p>
      <w:pPr>
        <w:pStyle w:val="ListBullet"/>
      </w:pPr>
      <w:r>
        <w:t>Coordinate validation results.</w:t>
      </w:r>
    </w:p>
    <w:p>
      <w:pPr>
        <w:pStyle w:val="ListBullet"/>
      </w:pPr>
      <w:r>
        <w:t>Administrative fields inferred or missing.</w:t>
      </w:r>
    </w:p>
    <w:p>
      <w:pPr>
        <w:pStyle w:val="ListBullet"/>
      </w:pPr>
      <w:r>
        <w:t>Technical metadata completeness by field: material, typology, year, span, maintenance condition, traffic, owner.</w:t>
      </w:r>
    </w:p>
    <w:p>
      <w:pPr>
        <w:pStyle w:val="Heading2"/>
      </w:pPr>
      <w:r>
        <w:t>Asset Screening</w:t>
      </w:r>
    </w:p>
    <w:p>
      <w:pPr>
        <w:pStyle w:val="ListBullet"/>
      </w:pPr>
      <w:r>
        <w:t>A ranked list of uploaded assets, not historical collapse events.</w:t>
      </w:r>
    </w:p>
    <w:p>
      <w:pPr>
        <w:pStyle w:val="ListBullet"/>
      </w:pPr>
      <w:r>
        <w:t>Priority class and numerical indicator.</w:t>
      </w:r>
    </w:p>
    <w:p>
      <w:pPr>
        <w:pStyle w:val="ListBullet"/>
      </w:pPr>
      <w:r>
        <w:t>Main drivers: hydraulic exposure, nearby precedents, missing data, human impact precedents, multi-hazard context.</w:t>
      </w:r>
    </w:p>
    <w:p>
      <w:pPr>
        <w:pStyle w:val="ListBullet"/>
      </w:pPr>
      <w:r>
        <w:t>Evidence confidence for each asset.</w:t>
      </w:r>
    </w:p>
    <w:p>
      <w:pPr>
        <w:pStyle w:val="ListBullet"/>
      </w:pPr>
      <w:r>
        <w:t>Recommended next action for each asset.</w:t>
      </w:r>
    </w:p>
    <w:p>
      <w:pPr>
        <w:pStyle w:val="Heading2"/>
      </w:pPr>
      <w:r>
        <w:t>Asset-Level Evidence</w:t>
      </w:r>
    </w:p>
    <w:p>
      <w:pPr>
        <w:pStyle w:val="ListBullet"/>
      </w:pPr>
      <w:r>
        <w:t>For each high-priority asset, show the closest or most comparable ARCUS events.</w:t>
      </w:r>
    </w:p>
    <w:p>
      <w:pPr>
        <w:pStyle w:val="ListBullet"/>
      </w:pPr>
      <w:r>
        <w:t>Explain the similarity logic: cause, trigger, distance, territory, severity, source reliability.</w:t>
      </w:r>
    </w:p>
    <w:p>
      <w:pPr>
        <w:pStyle w:val="ListBullet"/>
      </w:pPr>
      <w:r>
        <w:t>Show why an asset is classified as Priority 1 rather than Priority 2 or Watch.</w:t>
      </w:r>
    </w:p>
    <w:p>
      <w:pPr>
        <w:pStyle w:val="ListBullet"/>
      </w:pPr>
      <w:r>
        <w:t>Clearly separate historical evidence from asset-specific assessment.</w:t>
      </w:r>
    </w:p>
    <w:p>
      <w:pPr>
        <w:pStyle w:val="Heading2"/>
      </w:pPr>
      <w:r>
        <w:t>Final Export</w:t>
      </w:r>
    </w:p>
    <w:p>
      <w:pPr>
        <w:pStyle w:val="ListBullet"/>
      </w:pPr>
      <w:r>
        <w:t>PDF operational watchlist.</w:t>
      </w:r>
    </w:p>
    <w:p>
      <w:pPr>
        <w:pStyle w:val="ListBullet"/>
      </w:pPr>
      <w:r>
        <w:t>Excel table with enriched asset fields and priority classes.</w:t>
      </w:r>
    </w:p>
    <w:p>
      <w:pPr>
        <w:pStyle w:val="ListBullet"/>
      </w:pPr>
      <w:r>
        <w:t>GeoJSON of uploaded assets and selected evidence.</w:t>
      </w:r>
    </w:p>
    <w:p>
      <w:pPr>
        <w:pStyle w:val="ListBullet"/>
      </w:pPr>
      <w:r>
        <w:t>Evidence appendix with sources and comparable events.</w:t>
      </w:r>
    </w:p>
    <w:p>
      <w:pPr>
        <w:pStyle w:val="ListBullet"/>
      </w:pPr>
      <w:r>
        <w:t>Optional single-asset sheets for Priority 1 assets.</w:t>
      </w:r>
    </w:p>
    <w:p>
      <w:pPr>
        <w:pStyle w:val="Heading1"/>
      </w:pPr>
      <w:r>
        <w:t>6. Recommended Asset Screening Table</w:t>
      </w:r>
    </w:p>
    <w:p>
      <w:r>
        <w:t>The current table is too short for a professional watchlist. The client needs to know not only the score, but the reason, confidence and recommended action.</w:t>
      </w:r>
    </w:p>
    <w:tbl>
      <w:tblPr>
        <w:tblW w:type="auto" w:w="0"/>
        <w:jc w:val="center"/>
        <w:tblLayout w:type="autofit"/>
        <w:tblLook w:firstColumn="1" w:firstRow="1" w:lastColumn="0" w:lastRow="0" w:noHBand="0" w:noVBand="1" w:val="04A0"/>
      </w:tblPr>
      <w:tblGrid>
        <w:gridCol w:w="5184"/>
        <w:gridCol w:w="5184"/>
      </w:tblGrid>
      <w:tr>
        <w:tc>
          <w:tcPr>
            <w:tcW w:type="dxa" w:w="5184"/>
            <w:vAlign w:val="top"/>
            <w:shd w:fill="C49040"/>
            <w:tcBorders>
              <w:top w:val="single" w:sz="4" w:space="0" w:color="D9CEC1"/>
              <w:left w:val="single" w:sz="4" w:space="0" w:color="D9CEC1"/>
              <w:bottom w:val="single" w:sz="4" w:space="0" w:color="D9CEC1"/>
              <w:right w:val="single" w:sz="4" w:space="0" w:color="D9CEC1"/>
            </w:tcBorders>
          </w:tcPr>
          <w:p>
            <w:r/>
            <w:r>
              <w:rPr>
                <w:b/>
                <w:color w:val="15110F"/>
                <w:sz w:val="17"/>
              </w:rPr>
              <w:t>Column</w:t>
            </w:r>
          </w:p>
        </w:tc>
        <w:tc>
          <w:tcPr>
            <w:tcW w:type="dxa" w:w="5184"/>
            <w:vAlign w:val="top"/>
            <w:shd w:fill="C49040"/>
            <w:tcBorders>
              <w:top w:val="single" w:sz="4" w:space="0" w:color="D9CEC1"/>
              <w:left w:val="single" w:sz="4" w:space="0" w:color="D9CEC1"/>
              <w:bottom w:val="single" w:sz="4" w:space="0" w:color="D9CEC1"/>
              <w:right w:val="single" w:sz="4" w:space="0" w:color="D9CEC1"/>
            </w:tcBorders>
          </w:tcPr>
          <w:p>
            <w:r/>
            <w:r>
              <w:rPr>
                <w:b/>
                <w:color w:val="15110F"/>
                <w:sz w:val="17"/>
              </w:rPr>
              <w:t>Meaning</w:t>
            </w:r>
          </w:p>
        </w:tc>
      </w:tr>
      <w:tr>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Asset ID / Name</w:t>
            </w:r>
          </w:p>
        </w:tc>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Client asset identifier and asset name.</w:t>
            </w:r>
          </w:p>
        </w:tc>
      </w:tr>
      <w:tr>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Location</w:t>
            </w:r>
          </w:p>
        </w:tc>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Municipality, province and coordinates, either uploaded or inferred.</w:t>
            </w:r>
          </w:p>
        </w:tc>
      </w:tr>
      <w:tr>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Priority Class</w:t>
            </w:r>
          </w:p>
        </w:tc>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Priority 1, Priority 2, Watch, Baseline or Data Gap.</w:t>
            </w:r>
          </w:p>
        </w:tc>
      </w:tr>
      <w:tr>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Attention Indicator</w:t>
            </w:r>
          </w:p>
        </w:tc>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Numerical value with class label, not presented as structural risk certification.</w:t>
            </w:r>
          </w:p>
        </w:tc>
      </w:tr>
      <w:tr>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Primary Driver</w:t>
            </w:r>
          </w:p>
        </w:tc>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Hydraulic, landslide, seismic, historical precedent, data gap or multi-hazard.</w:t>
            </w:r>
          </w:p>
        </w:tc>
      </w:tr>
      <w:tr>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Evidence Strength</w:t>
            </w:r>
          </w:p>
        </w:tc>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A/B/C class with source and data completeness explanation.</w:t>
            </w:r>
          </w:p>
        </w:tc>
      </w:tr>
      <w:tr>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Comparable Events</w:t>
            </w:r>
          </w:p>
        </w:tc>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Number of relevant ARCUS precedents linked to the asset.</w:t>
            </w:r>
          </w:p>
        </w:tc>
      </w:tr>
      <w:tr>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Recommended Action</w:t>
            </w:r>
          </w:p>
        </w:tc>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Inspection, data completion, hydraulic check, document review or advanced analysis.</w:t>
            </w:r>
          </w:p>
        </w:tc>
      </w:tr>
    </w:tbl>
    <w:p>
      <w:pPr>
        <w:pStyle w:val="Heading1"/>
      </w:pPr>
      <w:r>
        <w:t>7. Recommended Priority Classes</w:t>
      </w:r>
    </w:p>
    <w:tbl>
      <w:tblPr>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C49040"/>
            <w:tcBorders>
              <w:top w:val="single" w:sz="4" w:space="0" w:color="D9CEC1"/>
              <w:left w:val="single" w:sz="4" w:space="0" w:color="D9CEC1"/>
              <w:bottom w:val="single" w:sz="4" w:space="0" w:color="D9CEC1"/>
              <w:right w:val="single" w:sz="4" w:space="0" w:color="D9CEC1"/>
            </w:tcBorders>
          </w:tcPr>
          <w:p>
            <w:r/>
            <w:r>
              <w:rPr>
                <w:b/>
                <w:color w:val="15110F"/>
                <w:sz w:val="17"/>
              </w:rPr>
              <w:t>Class</w:t>
            </w:r>
          </w:p>
        </w:tc>
        <w:tc>
          <w:tcPr>
            <w:tcW w:type="dxa" w:w="3456"/>
            <w:vAlign w:val="top"/>
            <w:shd w:fill="C49040"/>
            <w:tcBorders>
              <w:top w:val="single" w:sz="4" w:space="0" w:color="D9CEC1"/>
              <w:left w:val="single" w:sz="4" w:space="0" w:color="D9CEC1"/>
              <w:bottom w:val="single" w:sz="4" w:space="0" w:color="D9CEC1"/>
              <w:right w:val="single" w:sz="4" w:space="0" w:color="D9CEC1"/>
            </w:tcBorders>
          </w:tcPr>
          <w:p>
            <w:r/>
            <w:r>
              <w:rPr>
                <w:b/>
                <w:color w:val="15110F"/>
                <w:sz w:val="17"/>
              </w:rPr>
              <w:t>Meaning</w:t>
            </w:r>
          </w:p>
        </w:tc>
        <w:tc>
          <w:tcPr>
            <w:tcW w:type="dxa" w:w="3456"/>
            <w:vAlign w:val="top"/>
            <w:shd w:fill="C49040"/>
            <w:tcBorders>
              <w:top w:val="single" w:sz="4" w:space="0" w:color="D9CEC1"/>
              <w:left w:val="single" w:sz="4" w:space="0" w:color="D9CEC1"/>
              <w:bottom w:val="single" w:sz="4" w:space="0" w:color="D9CEC1"/>
              <w:right w:val="single" w:sz="4" w:space="0" w:color="D9CEC1"/>
            </w:tcBorders>
          </w:tcPr>
          <w:p>
            <w:r/>
            <w:r>
              <w:rPr>
                <w:b/>
                <w:color w:val="15110F"/>
                <w:sz w:val="17"/>
              </w:rPr>
              <w:t>Suggested action</w:t>
            </w:r>
          </w:p>
        </w:tc>
      </w:tr>
      <w:tr>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Priority 1</w:t>
            </w:r>
          </w:p>
        </w:tc>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Strong territorial exposure and/or strong historical precedent evidence.</w:t>
            </w:r>
          </w:p>
        </w:tc>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Review first, verify exposure and plan targeted inspection or advanced assessment.</w:t>
            </w:r>
          </w:p>
        </w:tc>
      </w:tr>
      <w:tr>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Priority 2</w:t>
            </w:r>
          </w:p>
        </w:tc>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Moderate exposure or limited but relevant historical evidence.</w:t>
            </w:r>
          </w:p>
        </w:tc>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Include in next monitoring cycle and complete missing data.</w:t>
            </w:r>
          </w:p>
        </w:tc>
      </w:tr>
      <w:tr>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Watch</w:t>
            </w:r>
          </w:p>
        </w:tc>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Some exposure or weak evidence, but not enough for immediate priority.</w:t>
            </w:r>
          </w:p>
        </w:tc>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Keep under observation and update when new data are available.</w:t>
            </w:r>
          </w:p>
        </w:tc>
      </w:tr>
      <w:tr>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Baseline</w:t>
            </w:r>
          </w:p>
        </w:tc>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Low evidence of territorial concern in the current dataset.</w:t>
            </w:r>
          </w:p>
        </w:tc>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Maintain ordinary monitoring.</w:t>
            </w:r>
          </w:p>
        </w:tc>
      </w:tr>
      <w:tr>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Data Gap</w:t>
            </w:r>
          </w:p>
        </w:tc>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Insufficient asset information or poor geolocation quality.</w:t>
            </w:r>
          </w:p>
        </w:tc>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Complete inventory before assigning operational priority.</w:t>
            </w:r>
          </w:p>
        </w:tc>
      </w:tr>
    </w:tbl>
    <w:p>
      <w:pPr>
        <w:pStyle w:val="Heading1"/>
      </w:pPr>
      <w:r>
        <w:t>8. Terminology Improvements</w:t>
      </w:r>
    </w:p>
    <w:tbl>
      <w:tblPr>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C49040"/>
            <w:tcBorders>
              <w:top w:val="single" w:sz="4" w:space="0" w:color="D9CEC1"/>
              <w:left w:val="single" w:sz="4" w:space="0" w:color="D9CEC1"/>
              <w:bottom w:val="single" w:sz="4" w:space="0" w:color="D9CEC1"/>
              <w:right w:val="single" w:sz="4" w:space="0" w:color="D9CEC1"/>
            </w:tcBorders>
          </w:tcPr>
          <w:p>
            <w:r/>
            <w:r>
              <w:rPr>
                <w:b/>
                <w:color w:val="15110F"/>
                <w:sz w:val="17"/>
              </w:rPr>
              <w:t>Current term</w:t>
            </w:r>
          </w:p>
        </w:tc>
        <w:tc>
          <w:tcPr>
            <w:tcW w:type="dxa" w:w="3456"/>
            <w:vAlign w:val="top"/>
            <w:shd w:fill="C49040"/>
            <w:tcBorders>
              <w:top w:val="single" w:sz="4" w:space="0" w:color="D9CEC1"/>
              <w:left w:val="single" w:sz="4" w:space="0" w:color="D9CEC1"/>
              <w:bottom w:val="single" w:sz="4" w:space="0" w:color="D9CEC1"/>
              <w:right w:val="single" w:sz="4" w:space="0" w:color="D9CEC1"/>
            </w:tcBorders>
          </w:tcPr>
          <w:p>
            <w:r/>
            <w:r>
              <w:rPr>
                <w:b/>
                <w:color w:val="15110F"/>
                <w:sz w:val="17"/>
              </w:rPr>
              <w:t>Recommended term</w:t>
            </w:r>
          </w:p>
        </w:tc>
        <w:tc>
          <w:tcPr>
            <w:tcW w:type="dxa" w:w="3456"/>
            <w:vAlign w:val="top"/>
            <w:shd w:fill="C49040"/>
            <w:tcBorders>
              <w:top w:val="single" w:sz="4" w:space="0" w:color="D9CEC1"/>
              <w:left w:val="single" w:sz="4" w:space="0" w:color="D9CEC1"/>
              <w:bottom w:val="single" w:sz="4" w:space="0" w:color="D9CEC1"/>
              <w:right w:val="single" w:sz="4" w:space="0" w:color="D9CEC1"/>
            </w:tcBorders>
          </w:tcPr>
          <w:p>
            <w:r/>
            <w:r>
              <w:rPr>
                <w:b/>
                <w:color w:val="15110F"/>
                <w:sz w:val="17"/>
              </w:rPr>
              <w:t>Reason</w:t>
            </w:r>
          </w:p>
        </w:tc>
      </w:tr>
      <w:tr>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Vulnerability</w:t>
            </w:r>
          </w:p>
        </w:tc>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Infrastructure Attention Indicator</w:t>
            </w:r>
          </w:p>
        </w:tc>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Avoids implying direct structural vulnerability assessment.</w:t>
            </w:r>
          </w:p>
        </w:tc>
      </w:tr>
      <w:tr>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Structural vulnerability exposure</w:t>
            </w:r>
          </w:p>
        </w:tc>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Failure precedent exposure</w:t>
            </w:r>
          </w:p>
        </w:tc>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Clarifies that the signal comes from historical evidence, not structural diagnosis.</w:t>
            </w:r>
          </w:p>
        </w:tc>
      </w:tr>
      <w:tr>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Risk score</w:t>
            </w:r>
          </w:p>
        </w:tc>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Priority indicator / Exposure indicator</w:t>
            </w:r>
          </w:p>
        </w:tc>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Reduces liability and improves explainability.</w:t>
            </w:r>
          </w:p>
        </w:tc>
      </w:tr>
      <w:tr>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Inspection Candidates</w:t>
            </w:r>
          </w:p>
        </w:tc>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Historical Collapse Signals or Asset Inspection Candidates</w:t>
            </w:r>
          </w:p>
        </w:tc>
        <w:tc>
          <w:tcPr>
            <w:tcW w:type="dxa" w:w="3456"/>
            <w:vAlign w:val="top"/>
            <w:tcBorders>
              <w:top w:val="single" w:sz="4" w:space="0" w:color="D9CEC1"/>
              <w:left w:val="single" w:sz="4" w:space="0" w:color="D9CEC1"/>
              <w:bottom w:val="single" w:sz="4" w:space="0" w:color="D9CEC1"/>
              <w:right w:val="single" w:sz="4" w:space="0" w:color="D9CEC1"/>
            </w:tcBorders>
          </w:tcPr>
          <w:p>
            <w:r/>
            <w:r>
              <w:rPr>
                <w:b w:val="0"/>
                <w:sz w:val="17"/>
              </w:rPr>
              <w:t>Use one depending on whether the rows are historical events or uploaded assets.</w:t>
            </w:r>
          </w:p>
        </w:tc>
      </w:tr>
      <w:tr>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Monitoring signals</w:t>
            </w:r>
          </w:p>
        </w:tc>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Attention signals</w:t>
            </w:r>
          </w:p>
        </w:tc>
        <w:tc>
          <w:tcPr>
            <w:tcW w:type="dxa" w:w="3456"/>
            <w:vAlign w:val="top"/>
            <w:tcBorders>
              <w:top w:val="single" w:sz="4" w:space="0" w:color="D9CEC1"/>
              <w:left w:val="single" w:sz="4" w:space="0" w:color="D9CEC1"/>
              <w:bottom w:val="single" w:sz="4" w:space="0" w:color="D9CEC1"/>
              <w:right w:val="single" w:sz="4" w:space="0" w:color="D9CEC1"/>
            </w:tcBorders>
            <w:shd w:fill="FBF4EC"/>
          </w:tcPr>
          <w:p>
            <w:r/>
            <w:r>
              <w:rPr>
                <w:b w:val="0"/>
                <w:sz w:val="17"/>
              </w:rPr>
              <w:t>More intuitive if each signal is explained in the methodology.</w:t>
            </w:r>
          </w:p>
        </w:tc>
      </w:tr>
    </w:tbl>
    <w:p>
      <w:pPr>
        <w:pStyle w:val="Heading1"/>
      </w:pPr>
      <w:r>
        <w:t>9. Suggested Executive Summary Template</w:t>
      </w:r>
    </w:p>
    <w:p>
      <w:r>
        <w:t>Example text to generate dynamically:</w:t>
      </w:r>
    </w:p>
    <w:p>
      <w:pPr>
        <w:pStyle w:val="IntenseQuote"/>
      </w:pPr>
      <w:r>
        <w:rPr>
          <w:i/>
        </w:rPr>
        <w:t>The uploaded inventory includes 8 assets, all geolocated and assessed by ARCUS. The screening indicates a high concentration of attention signals mainly driven by hydraulic exposure and historical collapse precedents in the surrounding territorial context. Seven assets are currently classified as high attention; however, the prioritization should be interpreted as a preliminary screening output and should be followed by asset-specific technical verification.</w:t>
      </w:r>
    </w:p>
    <w:p>
      <w:pPr>
        <w:pStyle w:val="Heading1"/>
      </w:pPr>
      <w:r>
        <w:t>10. Implementation Instructions for the Platform</w:t>
      </w:r>
    </w:p>
    <w:p>
      <w:pPr>
        <w:pStyle w:val="ListBullet"/>
      </w:pPr>
      <w:r>
        <w:t>Add a validation block before report generation. Never allow missing province, municipality or coordinates to be silently rendered as “-” if the inventory quality is shown as 100/100.</w:t>
      </w:r>
    </w:p>
    <w:p>
      <w:pPr>
        <w:pStyle w:val="ListBullet"/>
      </w:pPr>
      <w:r>
        <w:t>Separate uploaded assets from ARCUS historical events in the data model and in the UI.</w:t>
      </w:r>
    </w:p>
    <w:p>
      <w:pPr>
        <w:pStyle w:val="ListBullet"/>
      </w:pPr>
      <w:r>
        <w:t>For every Priority 1 asset, generate a short explanation: “classified as Priority 1 because...”.</w:t>
      </w:r>
    </w:p>
    <w:p>
      <w:pPr>
        <w:pStyle w:val="ListBullet"/>
      </w:pPr>
      <w:r>
        <w:t>Add thresholds for priority classes and display them in the methodology appendix.</w:t>
      </w:r>
    </w:p>
    <w:p>
      <w:pPr>
        <w:pStyle w:val="ListBullet"/>
      </w:pPr>
      <w:r>
        <w:t>Add a confidence class for each asset based on input completeness, geolocation quality and source-backed evidence.</w:t>
      </w:r>
    </w:p>
    <w:p>
      <w:pPr>
        <w:pStyle w:val="ListBullet"/>
      </w:pPr>
      <w:r>
        <w:t>If more than 60-70% of assets are classified as Priority 1, add a secondary ranking: Critical / High / Medium within Priority 1.</w:t>
      </w:r>
    </w:p>
    <w:p>
      <w:pPr>
        <w:pStyle w:val="ListBullet"/>
      </w:pPr>
      <w:r>
        <w:t>Replace any risky terminology related to structural vulnerability with exposure, attention or precedent-based terminology unless asset-specific engineering data are available.</w:t>
      </w:r>
    </w:p>
    <w:p>
      <w:pPr>
        <w:pStyle w:val="ListBullet"/>
      </w:pPr>
      <w:r>
        <w:t>Generate exports as a package: PDF report, Excel watchlist, GeoJSON assets and evidence appendix.</w:t>
      </w:r>
    </w:p>
    <w:p>
      <w:pPr>
        <w:pStyle w:val="Heading1"/>
      </w:pPr>
      <w:r>
        <w:t>11. Development Priority Roadmap</w:t>
      </w:r>
    </w:p>
    <w:tbl>
      <w:tblPr>
        <w:tblW w:type="auto" w:w="0"/>
        <w:jc w:val="center"/>
        <w:tblLayout w:type="autofit"/>
        <w:tblLook w:firstColumn="1" w:firstRow="1" w:lastColumn="0" w:lastRow="0" w:noHBand="0" w:noVBand="1" w:val="04A0"/>
      </w:tblPr>
      <w:tblGrid>
        <w:gridCol w:w="5184"/>
        <w:gridCol w:w="5184"/>
      </w:tblGrid>
      <w:tr>
        <w:tc>
          <w:tcPr>
            <w:tcW w:type="dxa" w:w="5184"/>
            <w:vAlign w:val="top"/>
            <w:shd w:fill="C49040"/>
            <w:tcBorders>
              <w:top w:val="single" w:sz="4" w:space="0" w:color="D9CEC1"/>
              <w:left w:val="single" w:sz="4" w:space="0" w:color="D9CEC1"/>
              <w:bottom w:val="single" w:sz="4" w:space="0" w:color="D9CEC1"/>
              <w:right w:val="single" w:sz="4" w:space="0" w:color="D9CEC1"/>
            </w:tcBorders>
          </w:tcPr>
          <w:p>
            <w:r/>
            <w:r>
              <w:rPr>
                <w:b/>
                <w:color w:val="15110F"/>
                <w:sz w:val="17"/>
              </w:rPr>
              <w:t>Priority</w:t>
            </w:r>
          </w:p>
        </w:tc>
        <w:tc>
          <w:tcPr>
            <w:tcW w:type="dxa" w:w="5184"/>
            <w:vAlign w:val="top"/>
            <w:shd w:fill="C49040"/>
            <w:tcBorders>
              <w:top w:val="single" w:sz="4" w:space="0" w:color="D9CEC1"/>
              <w:left w:val="single" w:sz="4" w:space="0" w:color="D9CEC1"/>
              <w:bottom w:val="single" w:sz="4" w:space="0" w:color="D9CEC1"/>
              <w:right w:val="single" w:sz="4" w:space="0" w:color="D9CEC1"/>
            </w:tcBorders>
          </w:tcPr>
          <w:p>
            <w:r/>
            <w:r>
              <w:rPr>
                <w:b/>
                <w:color w:val="15110F"/>
                <w:sz w:val="17"/>
              </w:rPr>
              <w:t>Action</w:t>
            </w:r>
          </w:p>
        </w:tc>
      </w:tr>
      <w:tr>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1</w:t>
            </w:r>
          </w:p>
        </w:tc>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Fix inventory consistency: title, territory, asset geography and missing province fields.</w:t>
            </w:r>
          </w:p>
        </w:tc>
      </w:tr>
      <w:tr>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2</w:t>
            </w:r>
          </w:p>
        </w:tc>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Rename ambiguous sections and clearly separate uploaded assets from historical collapse events.</w:t>
            </w:r>
          </w:p>
        </w:tc>
      </w:tr>
      <w:tr>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3</w:t>
            </w:r>
          </w:p>
        </w:tc>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Add asset-level explanations and recommended next actions.</w:t>
            </w:r>
          </w:p>
        </w:tc>
      </w:tr>
      <w:tr>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4</w:t>
            </w:r>
          </w:p>
        </w:tc>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Improve priority classes so the watchlist actually prioritizes.</w:t>
            </w:r>
          </w:p>
        </w:tc>
      </w:tr>
      <w:tr>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5</w:t>
            </w:r>
          </w:p>
        </w:tc>
        <w:tc>
          <w:tcPr>
            <w:tcW w:type="dxa" w:w="5184"/>
            <w:vAlign w:val="top"/>
            <w:tcBorders>
              <w:top w:val="single" w:sz="4" w:space="0" w:color="D9CEC1"/>
              <w:left w:val="single" w:sz="4" w:space="0" w:color="D9CEC1"/>
              <w:bottom w:val="single" w:sz="4" w:space="0" w:color="D9CEC1"/>
              <w:right w:val="single" w:sz="4" w:space="0" w:color="D9CEC1"/>
            </w:tcBorders>
            <w:shd w:fill="FBF4EC"/>
          </w:tcPr>
          <w:p>
            <w:r/>
            <w:r>
              <w:rPr>
                <w:b w:val="0"/>
                <w:sz w:val="17"/>
              </w:rPr>
              <w:t>Add methodology, thresholds, confidence classes and limitations.</w:t>
            </w:r>
          </w:p>
        </w:tc>
      </w:tr>
      <w:tr>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6</w:t>
            </w:r>
          </w:p>
        </w:tc>
        <w:tc>
          <w:tcPr>
            <w:tcW w:type="dxa" w:w="5184"/>
            <w:vAlign w:val="top"/>
            <w:tcBorders>
              <w:top w:val="single" w:sz="4" w:space="0" w:color="D9CEC1"/>
              <w:left w:val="single" w:sz="4" w:space="0" w:color="D9CEC1"/>
              <w:bottom w:val="single" w:sz="4" w:space="0" w:color="D9CEC1"/>
              <w:right w:val="single" w:sz="4" w:space="0" w:color="D9CEC1"/>
            </w:tcBorders>
          </w:tcPr>
          <w:p>
            <w:r/>
            <w:r>
              <w:rPr>
                <w:b w:val="0"/>
                <w:sz w:val="17"/>
              </w:rPr>
              <w:t>Add professional export package: PDF + Excel + GeoJSON + evidence appendix.</w:t>
            </w:r>
          </w:p>
        </w:tc>
      </w:tr>
    </w:tbl>
    <w:p>
      <w:pPr>
        <w:pStyle w:val="Heading1"/>
      </w:pPr>
      <w:r>
        <w:t>Final Product Direction</w:t>
      </w:r>
    </w:p>
    <w:p>
      <w:r>
        <w:rPr>
          <w:b/>
        </w:rPr>
        <w:t>Path 02 should become the operational heart of ARCUS PROFESSIONAL for asset managers. The output must not only say which assets are high priority; it must explain why, based on territory, hazards, historical collapse evidence and data quality.</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6548"/>
        <w:sz w:val="16"/>
      </w:rPr>
      <w:t>ARCUS Professional - Path 02 Output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7A654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7A65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C171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C171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