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ARCUS Professional</w:t>
      </w:r>
    </w:p>
    <w:p>
      <w:pPr>
        <w:spacing w:after="80" w:before="0"/>
      </w:pPr>
      <w:r>
        <w:rPr>
          <w:rFonts w:ascii="Arial" w:cs="Arial" w:eastAsia="Arial" w:hAnsi="Arial"/>
          <w:color w:val="B8860B"/>
          <w:sz w:val="32"/>
          <w:szCs w:val="32"/>
        </w:rPr>
        <w:t xml:space="preserve">Product &amp; Feature Review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Infrastructure Intelligence Platform</w:t>
      </w:r>
    </w:p>
    <w:p>
      <w:pPr>
        <w:pBdr>
          <w:bottom w:val="single" w:color="E8E3D8" w:sz="2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Documento di lavoro interno  ·  Generato il 08/06/2026</w:t>
      </w:r>
    </w:p>
    <w:p>
      <w:pPr>
        <w:spacing w:after="40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Contiene tutti i feedback, le implementazioni e le decisioni architetturali emerse dalla sessione di review del 08/06/2026 sul Path 01 / New Territory e sulla struttura generale della piattaforma.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Contesto e posizionamento del prodotto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ARCUS Professional è una piattaforma di infrastructure intelligence costruita attorno a evidenze storiche di collasso, correlazione con layer di pericolosità pubblica, analisi spiegabili e contesto territoriale. Non è un servizio di mappe premium: è uno strumento operativo per chi prende decisioni su infrastrutture prima della progettazione, dell'ispezione o della due diligence.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Asset fondamentale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cuore del prodotto è il primo database sistematico di ponti crollati in Italia dal 2000 ad oggi. Questo è il fossato competitivo reale: costruire un database equivalente richiederebbe anni di lavoro archivistico. Nessun altro strumento disponibile sul mercato italiano offre questa combinazione in forma preconfezionata.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!</w:t>
            </w:r>
          </w:p>
        </w:tc>
        <w:tc>
          <w:tcPr>
            <w:tcW w:type="dxa" w:w="8526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F5F2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Questo punto deve essere comunicato esplicitamente nel report e nella landing page. '125 linked sources' e '42 documented cases' sono numeri — 'primo database sistematico di ponti crollati in Italia dal 2000 ad oggi' è una dichiarazione di valore che giustifica l'abbonamento.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Il valore in tre livelli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Livello 1: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Il database storico — nessuno l'ha costruito sistematicamente per l'Italia dal 2000. Irreplicabile nel breve termine.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Livello 2: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 traduzione operativa — non uno score astratto di rischio, ma indicazioni precise su cosa chiedere all'idraulico e al geologo. Questo è il passaggio che i professionisti apprezzano perché risparmia tempo di briefing.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Livello 3: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 copertura temporale coerente — dal 2000 ad oggi con aggiornamento sistematico. Non un campione casuale, una serie storica costruita con criterio.</w:t>
      </w:r>
    </w:p>
    <w:p>
      <w:pPr>
        <w:pBdr>
          <w:bottom w:val="single" w:color="E8E3D8" w:sz="2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Review del Territory Briefing — Torino (Path 01)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report è stato analizzato nella doppia versione: full PDF (10 pagine) e one-pager executive. Il feedback è strutturato per livello di priorità di intervento.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B8860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Punti di forza confermati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Formato one-pager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30 secondi il cliente sa: provincia ad alto rischio idraulico, priority index 82/100, 42 eventi storici documentati, azione immediata richiesta (modello idraulico). È esattamente la sintesi necessaria prima di decidere se approfondire. Funziona.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Gestione delle aspettative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report è esplicito fin dall'inizio sul fatto che non è una certificazione di sicurezza strutturale ma uno screening preliminare. Questo è corretto e protegge da usi distorti del documento.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Traduzione del segnale in azioni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sezione 'Operational Meaning' con i cinque attention points (hydraulic compatibility, scour susceptibility, foundation/pier/abutment exposure, riverbed dynamics, flood/debris scenarios) è genuinamente utile. Non ci si ferma al numero, si dice cosa fare dopo. Questo differenzia ARCUS da qualsiasi tool di risk scoring generico.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Evidence package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125 fonti linkate e deduplicate per una sola provincia è un dato concreto. In condizioni normali un tecnico junior impiegherebbe giorni per raccogliere fonti equivalenti. Questa è efficienza misurabile.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B8860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Implementazioni prioritarie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A — Dichiarazione esplicita del database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Problema: il posizionamento del prodotto non emerge chiaramente dal report. Il cliente che non conosce ARCUS potrebbe pensare che stia aggregando dati già disponibili altrove.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Implementazione: aggiungere nel report, in apertura o nella sezione metodologia, una riga esplicita del tipo: 'ARCUS si basa sul primo database sistematico di ponti crollati in Italia dal 2000 ad oggi.' Questa frase cambia completamente la percezione del valore.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B — Chiarimento sull'evento scatenante comune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Problema: P1, P2, P3 (i tre casi prioritari) sono tutti datati 13 ottobre 2000. Un cliente che non conosce l'alluvione del 2000 in Piemonte/Valle d'Aosta potrebbe interpretarli come tre problemi indipendenti e sovrastimare la frequenza del rischio.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Implementazione: aggiungere una riga nella sezione Priority ARCUS Cases del tipo: 'Nota: P1-P3 sono riferiti allo stesso evento alluvionale del 13-16 ottobre 2000 (Piemonte e Valle d'Aosta).' Questo non riduce il valore del segnale — lo contestualizza correttamente, spostando il messaggio da 'provincia genericamente rischiosa' a 'provincia con vulnerabilità estrema documentata in scenari di piena eccezionale'. Per chi progetta un ponte, questa distinzione tecnica è importante.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 — Granularità sub-provinciale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Problema: la provincia di Torino comprende pianura del Po, collina e alta montagna alpina. Il rischio idraulico a Castellamonte (Canavese) è strutturalmente diverso da quello ad Ala di Stura (torrente alpino). Il report lo sa implicitamente ma non lo esplicita.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Implementazione da valutare: indicare nel report che la lettura provinciale è il livello di screening minimo e che una scelta di sito specifica richiederebbe un'analisi a scala comunale. Questo può anche essere posizionato come incentivo a upgrade verso analisi più granulari nella roadmap del prodotto.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D — Arco temporale degli eventi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Problema: il report mostra 42 casi ma non indica su quanti anni sono distribuiti. La densità temporale cambia la lettura del rischio.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Implementazione: aggiungere nella sezione Key Indicators o Historical Events il range temporale coperto (es. '2000–2025, 25 anni di evidenza') e, se possibile, la distribuzione per decade o per evento-trigger principale.</w:t>
      </w:r>
    </w:p>
    <w:p>
      <w:pPr>
        <w:pBdr>
          <w:bottom w:val="single" w:color="E8E3D8" w:sz="2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Integrazione dati AINOP — Indice di collasso relativo</w:t>
      </w:r>
    </w:p>
    <w:p>
      <w:pPr>
        <w:pStyle w:val="Heading2"/>
        <w:pBdr>
          <w:bottom w:val="single" w:color="B8860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Stato dell'accesso ai dati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dati AINOP sui ponti sono scaricabili gratuitamente e senza accreditamento istituzionale dal portale Open Data del MIT (dati.mit.gov.it). Sono disponibili in CSV e XLSX, con aggiornamento trimestrale dichiarato (ultimo aggiornamento: novembre 2025).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Ponti stradali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infrastrutture-stradali-ponti.csv
dati.mit.gov.it — download diretto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Ponti ferroviari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infrastrutture-ferroviarie-ponti.csv
dati.mit.gov.it — download diretto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B8860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Caveat da considerare prima dell'integrazione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Completezza del censimento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L'alimentazione di AINOP è a carico dell'ente gestore (regioni, enti locali, ANAS, concessionari). Il dataset riflette quanto è stato effettivamente caricato, non l'universo reale dei ponti italiani. I ponti comunali in piccoli comuni montani — frequenti nelle province alpine come Torino — sono probabilmente sotto-rappresentati. Verificare la copertura prima di usare AINOP come denominatore assoluto.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Licenza Creative Commons Non-Commercial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dati sono sotto licenza CC BY-NC. È possibile usarli internamente per calcolare indici derivati (es. tasso di collasso per provincia) e mostrare nel report solo il risultato elaborato — non i dati AINOP grezzi. Verificare con un legale prima della pubblicazione commerciale per confermare la conformità.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B8860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Come usarli in ARCUS — Indice di collasso relativo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caso d'uso concreto è costruire un indice di collasso relativo provinciale: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8526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F5F2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Tasso provinciale = (casi ARCUS nella provincia) ÷ (ponti censiti AINOP nella stessa provincia) × 100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Questo trasforma '42 eventi in provincia di Torino' in un dato comparabile come '1.8x la media nazionale' o 'top 10% delle province italiane per tasso di collasso'. Un numero del genere è molto più leggibile e difendibile per il cliente, e arricchisce significativamente il National Benchmark (sezione 13 del report attuale).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Azione immediata suggerita: scaricare il CSV, filtrare per provincia di Torino, contare le righe e fare il primo calcolo di riferimento. Verificare la copertura effettiva prima di integrarlo nei report automatizzati.</w:t>
      </w:r>
    </w:p>
    <w:p>
      <w:pPr>
        <w:pBdr>
          <w:bottom w:val="single" w:color="E8E3D8" w:sz="2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Architettura dei Path — Decisione strutturale</w:t>
      </w:r>
    </w:p>
    <w:p>
      <w:pPr>
        <w:pStyle w:val="Heading2"/>
        <w:pBdr>
          <w:bottom w:val="single" w:color="B8860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Il problema della struttura a 5 path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struttura attuale prevede 5 path: New Territory, Existing Assets, Extreme Event, Due Diligence, Research Intelligence. La logica di organizzare per momento decisionale anziché per tipo di dato è corretta. Tuttavia emergono tre tensioni: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Path 1 (New Territory) e Path 4 (Due Diligence) si sovrappongono: chi valuta un'acquisizione in una provincia sconosciuta è in entrambi contemporaneamente. Un cliente meno esperto si blocca sulla scelta.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Path 3 (Extreme Event) non è un momento decisionale autonomo: è un trigger che porta il cliente dentro Path 1 o Path 2 con urgenza aumentata. Potrebbe essere una modalità di accesso, non un path separato.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Path 5 (Research Intelligence) parla a un profilo cliente completamente diverso (ricercatori, policy maker, giornalisti). Messo in fila con gli altri quattro confonde il cliente principale.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B8860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Proposta — Tornare alla struttura a 2 path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L'intuizione originale dei 2 path era più onesta della struttura attuale. Tutti e 5 i path rispondono in fondo a due sole domande: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PATH 01 / NEW TERRITORY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Non ho ancora un asset specifico. Devo valutare un territorio — per costruire, acquisire, fare screening post-evento o supportare ricerca.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PATH 02 / EXISTING ASSETS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 già dei ponti o infrastrutture. Devo gestirli — monitoraggio, ispezione, prioritizzazione della manutenzione, rivalutazione.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domanda di ingresso diventa binaria: 'Ho già un asset o no?' Chiunque risponde in 3 secondi. Con 5 path la domanda non è sempre immediata.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B8860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Come recuperare la complessità senza aggiungere path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differenziazione non scompare, si sposta al livello corretto: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project context (Bridge, Road, Railway, Urban) funziona come filtro globale impostabile all'inizio della sessione, che condiziona il linguaggio e le attenzioni in qualunque path si scelga — non solo in Path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casi d'uso specifici (Due Diligence, Extreme Event, Research) diventano varianti interne o sottocasi dei 2 path principali, non voci di menu. Possono restare come etichette nel marketing o come preset di configurazione.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Dentro 'New Territory' il cliente può indicare ulteriormente se sta progettando, acquisendo o facendo screening post-evento. Sono step della stessa analisi, non path separati.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Raccomandazione</w:t>
            </w:r>
          </w:p>
        </w:tc>
        <w:tc>
          <w:tcPr>
            <w:tcW w:type="dxa" w:w="8526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F5F2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Per la v1 attuale la struttura a 5 path è difendibile, ma le tensioni emerse diventano problemi concreti non appena i primi utenti reali iniziano a usarla. Conviene testare con un piccolo gruppo prima di consolidare la struttura nell'interfaccia. Se anche uno solo si blocca sulla scelta del path, il segnale è chiaro.</w:t>
            </w:r>
          </w:p>
        </w:tc>
      </w:tr>
    </w:tbl>
    <w:p>
      <w:pPr>
        <w:pBdr>
          <w:bottom w:val="single" w:color="E8E3D8" w:sz="2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Project Context — Implementazione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L'idea di differenziare il report per project context (Bridge, Road / Crossing, Railway Crossing, Urban Infrastructure) è corretta e aggiunge valore reale. Ogni contesto ha campi di attenzione tecnica diversi.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B8860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Proposta di struttura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Anziché trattare il project context come opzione interna al solo Path 1, impostarlo come filtro globale di sessione. Esempio di flusso: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L'utente accede e imposta il suo profilo di lavoro: 'Lavoro su Bridge'.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Questo filtro rimane attivo e personalizza linguaggio, attention points e data requests in qualunque path scelga.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Path 1 (New Territory) riceve un report con sezione 'For Bridge interventions'; in Path 2 (Existing Assets) riceve una watchlist con prioritizzazione specifica per ponti.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B8860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Attenzioni specifiche per Bridge (già implementate in Path 1)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report Torino mostra già il meccanismo corretto per Bridge: hydraulic compatibility, scour susceptibility, foundation/pier/abutment exposure, riverbed dynamics, flood/debris scenarios. Questo schema è da replicare coerentemente per gli altri tre context type con le relative specificità tecniche.</w:t>
      </w:r>
    </w:p>
    <w:p>
      <w:pPr>
        <w:pBdr>
          <w:bottom w:val="single" w:color="E8E3D8" w:sz="2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Politica di aggiornamento del database</w:t>
      </w:r>
    </w:p>
    <w:p>
      <w:pPr>
        <w:pStyle w:val="Heading2"/>
        <w:pBdr>
          <w:bottom w:val="single" w:color="B8860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Cadenza definita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Aggiornamento semestrale del database come cadenza base. Aggiornamento anticipato in caso di evento catastrofico (alluvione, terremoto con impatto su infrastrutture, crollo mediatico). La cadenza semestrale è ragionevole per un database storico e gestibile operativamente.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B8860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Implementazione critica — Notifiche attive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L'aggiornamento del database ha valore percepito solo se il cliente lo riceve come segnale attivo. Se si aggiorna in silenzio, non viene percepito come valore. Implementazione da aggiungere alla roadmap: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 email/in-app all'abbonato quando il database si aggiorna con nuovi casi nelle province di suo interesse.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Formato della notifica: 'La provincia X ha un nuovo caso documentato — il tuo report è stato aggiornato.' Questo trasforma il prodotto da documento statico a servizio attivo.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Flag visivo nel report quando è stato aggiornato dopo l'ultima consultazione del cliente.</w:t>
      </w:r>
    </w:p>
    <w:p>
      <w:pPr>
        <w:pBdr>
          <w:bottom w:val="single" w:color="E8E3D8" w:sz="2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Domande aperte e prossimi passi</w:t>
      </w:r>
    </w:p>
    <w:p>
      <w:pPr>
        <w:pStyle w:val="Heading2"/>
        <w:pBdr>
          <w:bottom w:val="single" w:color="B8860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Domande di prodotto da rispondere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Indice di collasso relativo: scaricare il CSV AINOP ponti stradali, filtrare per provincia di Torino, verificare la copertura effettiva prima di integrare nei report automatizzati.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Granularità sub-provinciale: è prevista un'analisi a scala comunale o di corridoio? Se sì, quando? Questo risolve anche la questione della sovrapposizione alpino/pianura in province grandi come Torino.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Struttura path: testare la scelta dei path con i primi 3-5 utenti reali. Registrare se si bloccano sulla selezione o se la fanno in meno di 10 secondi.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Frequenza aggiornamento AINOP: il dataset MIT è dichiarato trimestrale. Verificare nella pratica quanto è aggiornato il file disponibile per download e se i dati dei piccoli comuni montani sono presenti.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B8860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Domande che un cliente esperto farebbe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Queste sono domande che emergeranno dai primi utenti professionali. Vale la pena prepararsi a risponderle: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L'arco temporale degli eventi: '42 casi su 25 anni o su 5 anni?' — risposta: indicare il range nel report.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copertura del censimento AINOP: 'Quanti ponti ci sono davvero in questa provincia?' — risposta: in sviluppo con integrazione AINOP.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frequenza di aggiornamento: 'Se un ponte crolla domani, quando lo trovo?' — risposta: entro il semestre, anticipato se evento catastrofico.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notifica degli aggiornamenti: 'Come saprò quando il database cambia?' — risposta: da implementare nella roadmap.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scala di analisi: 'Posso scendere dal livello provinciale al corridoio o al singolo comune?' — risposta: da definire nella roadmap.</w:t>
      </w:r>
    </w:p>
    <w:p>
      <w:pPr>
        <w:pBdr>
          <w:bottom w:val="single" w:color="E8E3D8" w:sz="2" w:space="1"/>
        </w:pBdr>
        <w:spacing w:after="160" w:before="16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ARCUS Professional — Documento di lavoro interno — 08/06/2026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Questo documento raccoglie feedback e decisioni di prodotto emerse dalla sessione di review sul Territory Briefing Torino (ARCUS-P01-20260608-TORINO) e sull'architettura generale della piattaforma. Non è destinato alla distribuzione esterna.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2026-06-08T14:57:05.349Z</dcterms:created>
  <dcterms:modified xsi:type="dcterms:W3CDTF">2026-06-08T14:57:05.349Z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