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ARCUS — Strategic Vision &amp; Economic Model</w:t>
      </w:r>
    </w:p>
    <w:p>
      <w:r>
        <w:rPr>
          <w:b/>
        </w:rPr>
        <w:t>ARCUS is positioned not as a simple database of bridge collapses, but as an infrastructure resilience and risk intelligence platform.</w:t>
      </w:r>
    </w:p>
    <w:p>
      <w:pPr>
        <w:pStyle w:val="Heading2"/>
      </w:pPr>
      <w:r>
        <w:t>1. Strategic Positioning</w:t>
      </w:r>
    </w:p>
    <w:p>
      <w:pPr>
        <w:pStyle w:val="ListBullet"/>
      </w:pPr>
      <w:r>
        <w:rPr>
          <w:sz w:val="22"/>
        </w:rPr>
        <w:t>ARCUS should evolve into a platform focused on infrastructure risk intelligence, resilience analytics, and geospatial monitoring.</w:t>
      </w:r>
    </w:p>
    <w:p>
      <w:pPr>
        <w:pStyle w:val="ListBullet"/>
      </w:pPr>
      <w:r>
        <w:rPr>
          <w:sz w:val="22"/>
        </w:rPr>
        <w:t>The platform combines a proprietary dataset, scientific validation, GIS analytics, source integration, and visual storytelling.</w:t>
      </w:r>
    </w:p>
    <w:p>
      <w:pPr>
        <w:pStyle w:val="ListBullet"/>
      </w:pPr>
      <w:r>
        <w:rPr>
          <w:sz w:val="22"/>
        </w:rPr>
        <w:t>The long-term objective is to become a European reference platform for infrastructure failure intelligence.</w:t>
      </w:r>
    </w:p>
    <w:p>
      <w:pPr>
        <w:pStyle w:val="Heading2"/>
      </w:pPr>
      <w:r>
        <w:t>2. Competitive Advantages</w:t>
      </w:r>
    </w:p>
    <w:p>
      <w:pPr>
        <w:pStyle w:val="ListBullet"/>
      </w:pPr>
      <w:r>
        <w:rPr>
          <w:sz w:val="22"/>
        </w:rPr>
        <w:t>Scientifically validated dataset covering 250 bridge collapse events in Italy (2000–2025).</w:t>
      </w:r>
    </w:p>
    <w:p>
      <w:pPr>
        <w:pStyle w:val="ListBullet"/>
      </w:pPr>
      <w:r>
        <w:rPr>
          <w:sz w:val="22"/>
        </w:rPr>
        <w:t>Original classification methodology (TC/PC, Triggered/Not-Triggered, cause taxonomy).</w:t>
      </w:r>
    </w:p>
    <w:p>
      <w:pPr>
        <w:pStyle w:val="ListBullet"/>
      </w:pPr>
      <w:r>
        <w:rPr>
          <w:sz w:val="22"/>
        </w:rPr>
        <w:t>Advanced geospatial visualization and analytics.</w:t>
      </w:r>
    </w:p>
    <w:p>
      <w:pPr>
        <w:pStyle w:val="ListBullet"/>
      </w:pPr>
      <w:r>
        <w:rPr>
          <w:sz w:val="22"/>
        </w:rPr>
        <w:t>Strong academic credibility through collaboration with Politecnico di Torino and Politecnico di Milano.</w:t>
      </w:r>
    </w:p>
    <w:p>
      <w:pPr>
        <w:pStyle w:val="ListBullet"/>
      </w:pPr>
      <w:r>
        <w:rPr>
          <w:sz w:val="22"/>
        </w:rPr>
        <w:t>Scalable architecture suitable for future European expansion.</w:t>
      </w:r>
    </w:p>
    <w:p>
      <w:pPr>
        <w:pStyle w:val="Heading2"/>
      </w:pPr>
      <w:r>
        <w:t>3. Freemium Model</w:t>
      </w:r>
    </w:p>
    <w:p>
      <w:pPr>
        <w:pStyle w:val="ListBullet"/>
      </w:pPr>
      <w:r>
        <w:rPr>
          <w:sz w:val="22"/>
        </w:rPr>
        <w:t>The free tier should maximize visibility, authority, SEO reach, and public engagement.</w:t>
      </w:r>
    </w:p>
    <w:p>
      <w:pPr>
        <w:pStyle w:val="ListBullet"/>
      </w:pPr>
      <w:r>
        <w:rPr>
          <w:sz w:val="22"/>
        </w:rPr>
        <w:t>Free features should include: public map, timeline, filters, popup information, heatmaps, methodology pages, and basic statistics.</w:t>
      </w:r>
    </w:p>
    <w:p>
      <w:pPr>
        <w:pStyle w:val="ListBullet"/>
      </w:pPr>
      <w:r>
        <w:rPr>
          <w:sz w:val="22"/>
        </w:rPr>
        <w:t>The platform must visually impress users even in the free version.</w:t>
      </w:r>
    </w:p>
    <w:p>
      <w:pPr>
        <w:pStyle w:val="Heading2"/>
      </w:pPr>
      <w:r>
        <w:t>4. ARCUS PRO</w:t>
      </w:r>
    </w:p>
    <w:p>
      <w:pPr>
        <w:pStyle w:val="ListBullet"/>
      </w:pPr>
      <w:r>
        <w:rPr>
          <w:sz w:val="22"/>
        </w:rPr>
        <w:t>Target: researchers, journalists, students, consultants, and small engineering firms.</w:t>
      </w:r>
    </w:p>
    <w:p>
      <w:pPr>
        <w:pStyle w:val="ListBullet"/>
      </w:pPr>
      <w:r>
        <w:rPr>
          <w:sz w:val="22"/>
        </w:rPr>
        <w:t>Suggested pricing: €19–49/month.</w:t>
      </w:r>
    </w:p>
    <w:p>
      <w:pPr>
        <w:pStyle w:val="ListBullet"/>
      </w:pPr>
      <w:r>
        <w:rPr>
          <w:sz w:val="22"/>
        </w:rPr>
        <w:t>Premium features: advanced analytics, exports, API access, AI-generated summaries, regional dashboards, and comparative analytics.</w:t>
      </w:r>
    </w:p>
    <w:p>
      <w:pPr>
        <w:pStyle w:val="Heading2"/>
      </w:pPr>
      <w:r>
        <w:t>5. ARCUS PROFESSIONAL</w:t>
      </w:r>
    </w:p>
    <w:p>
      <w:pPr>
        <w:pStyle w:val="ListBullet"/>
      </w:pPr>
      <w:r>
        <w:rPr>
          <w:sz w:val="22"/>
        </w:rPr>
        <w:t>Target: engineering companies, concessionaires, utilities, and infrastructure managers.</w:t>
      </w:r>
    </w:p>
    <w:p>
      <w:pPr>
        <w:pStyle w:val="ListBullet"/>
      </w:pPr>
      <w:r>
        <w:rPr>
          <w:sz w:val="22"/>
        </w:rPr>
        <w:t>Suggested pricing: €199–599/month.</w:t>
      </w:r>
    </w:p>
    <w:p>
      <w:pPr>
        <w:pStyle w:val="ListBullet"/>
      </w:pPr>
      <w:r>
        <w:rPr>
          <w:sz w:val="22"/>
        </w:rPr>
        <w:t>Features: vulnerability mapping, flood and landslide overlays, infrastructure aging analytics, hotspot detection, advanced GIS layers, and collaborative workspaces.</w:t>
      </w:r>
    </w:p>
    <w:p>
      <w:pPr>
        <w:pStyle w:val="Heading2"/>
      </w:pPr>
      <w:r>
        <w:t>6. ENTERPRISE / GOVERNMENT</w:t>
      </w:r>
    </w:p>
    <w:p>
      <w:pPr>
        <w:pStyle w:val="ListBullet"/>
      </w:pPr>
      <w:r>
        <w:rPr>
          <w:sz w:val="22"/>
        </w:rPr>
        <w:t>Target: ANAS, ministries, regional governments, civil protection agencies, insurers, and major infrastructure operators.</w:t>
      </w:r>
    </w:p>
    <w:p>
      <w:pPr>
        <w:pStyle w:val="ListBullet"/>
      </w:pPr>
      <w:r>
        <w:rPr>
          <w:sz w:val="22"/>
        </w:rPr>
        <w:t>Suggested pricing: €5,000–50,000/year depending on integrations and services.</w:t>
      </w:r>
    </w:p>
    <w:p>
      <w:pPr>
        <w:pStyle w:val="ListBullet"/>
      </w:pPr>
      <w:r>
        <w:rPr>
          <w:sz w:val="22"/>
        </w:rPr>
        <w:t>Features: private dashboards, predictive maintenance tools, asset prioritization, enterprise APIs, and custom consulting services.</w:t>
      </w:r>
    </w:p>
    <w:p>
      <w:pPr>
        <w:pStyle w:val="Heading2"/>
      </w:pPr>
      <w:r>
        <w:t>7. Revenue Potential</w:t>
      </w:r>
    </w:p>
    <w:p>
      <w:pPr>
        <w:pStyle w:val="ListBullet"/>
      </w:pPr>
      <w:r>
        <w:rPr>
          <w:sz w:val="22"/>
        </w:rPr>
        <w:t>Phase 1 (1 year): validation phase with estimated revenues between €15k and €80k/year.</w:t>
      </w:r>
    </w:p>
    <w:p>
      <w:pPr>
        <w:pStyle w:val="ListBullet"/>
      </w:pPr>
      <w:r>
        <w:rPr>
          <w:sz w:val="22"/>
        </w:rPr>
        <w:t>Phase 2 (2–3 years): expansion toward Europe and advanced analytics, with potential revenues between €250k and €1M/year.</w:t>
      </w:r>
    </w:p>
    <w:p>
      <w:pPr>
        <w:pStyle w:val="ListBullet"/>
      </w:pPr>
      <w:r>
        <w:rPr>
          <w:sz w:val="22"/>
        </w:rPr>
        <w:t>Phase 3: positioning as a European infrastructure intelligence platform with multimillion-euro potential.</w:t>
      </w:r>
    </w:p>
    <w:p>
      <w:pPr>
        <w:pStyle w:val="Heading2"/>
      </w:pPr>
      <w:r>
        <w:t>8. Strategic Direction</w:t>
      </w:r>
    </w:p>
    <w:p>
      <w:pPr>
        <w:pStyle w:val="ListBullet"/>
      </w:pPr>
      <w:r>
        <w:rPr>
          <w:sz w:val="22"/>
        </w:rPr>
        <w:t>ARCUS should never appear as a simple academic database.</w:t>
      </w:r>
    </w:p>
    <w:p>
      <w:pPr>
        <w:pStyle w:val="ListBullet"/>
      </w:pPr>
      <w:r>
        <w:rPr>
          <w:sz w:val="22"/>
        </w:rPr>
        <w:t>The visual identity must communicate premium infrastructure intelligence.</w:t>
      </w:r>
    </w:p>
    <w:p>
      <w:pPr>
        <w:pStyle w:val="ListBullet"/>
      </w:pPr>
      <w:r>
        <w:rPr>
          <w:sz w:val="22"/>
        </w:rPr>
        <w:t>The project should maintain strong connections with academic and institutional communities such as IABSE.</w:t>
      </w:r>
    </w:p>
    <w:p>
      <w:pPr>
        <w:pStyle w:val="ListBullet"/>
      </w:pPr>
      <w:r>
        <w:rPr>
          <w:sz w:val="22"/>
        </w:rPr>
        <w:t>Presenting ARCUS within IABSE TG 1.5 can help position the platform internationally and accelerate adoption.</w:t>
      </w:r>
    </w:p>
    <w:p>
      <w:pPr>
        <w:pStyle w:val="Heading2"/>
      </w:pPr>
      <w:r>
        <w:t>9. Future Expansion</w:t>
      </w:r>
    </w:p>
    <w:p>
      <w:pPr>
        <w:pStyle w:val="ListBullet"/>
      </w:pPr>
      <w:r>
        <w:rPr>
          <w:sz w:val="22"/>
        </w:rPr>
        <w:t>Extension beyond bridge collapses into broader infrastructure resilience analytics.</w:t>
      </w:r>
    </w:p>
    <w:p>
      <w:pPr>
        <w:pStyle w:val="ListBullet"/>
      </w:pPr>
      <w:r>
        <w:rPr>
          <w:sz w:val="22"/>
        </w:rPr>
        <w:t>European and international datasets.</w:t>
      </w:r>
    </w:p>
    <w:p>
      <w:pPr>
        <w:pStyle w:val="ListBullet"/>
      </w:pPr>
      <w:r>
        <w:rPr>
          <w:sz w:val="22"/>
        </w:rPr>
        <w:t>Climate-risk integration and predictive intelligence.</w:t>
      </w:r>
    </w:p>
    <w:p>
      <w:pPr>
        <w:pStyle w:val="ListBullet"/>
      </w:pPr>
      <w:r>
        <w:rPr>
          <w:sz w:val="22"/>
        </w:rPr>
        <w:t>AI-assisted infrastructure risk analysis.</w:t>
      </w:r>
    </w:p>
    <w:p>
      <w:pPr>
        <w:pStyle w:val="ListBullet"/>
      </w:pPr>
      <w:r>
        <w:rPr>
          <w:sz w:val="22"/>
        </w:rPr>
        <w:t>Satellite and remote sensing integration.</w:t>
      </w:r>
    </w:p>
    <w:p>
      <w:r>
        <w:rPr>
          <w:b/>
        </w:rPr>
        <w:t>Core Vision: ARCUS should become a premium infrastructure resilience intelligence platform capable of supporting engineering, public policy, emergency management, and strategic asset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