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ARCUS PROFESSIONAL – Operational Workflow Architecture</w:t>
      </w:r>
    </w:p>
    <w:p>
      <w:r>
        <w:rPr>
          <w:b/>
        </w:rPr>
        <w:t>This document defines the operational logic of the five core workflows of ARCUS PROFESSIONAL. Each path follows the same structure: Input → Analysis → Evidence → Interpretation → Output.</w:t>
      </w:r>
    </w:p>
    <w:p>
      <w:pPr>
        <w:pStyle w:val="Heading2"/>
      </w:pPr>
      <w:r>
        <w:t>01 — Assess New Territory</w:t>
      </w:r>
    </w:p>
    <w:p>
      <w:r>
        <w:rPr>
          <w:b/>
        </w:rPr>
        <w:t xml:space="preserve">Objective: </w:t>
      </w:r>
      <w:r>
        <w:t>Evaluate a new territory before planning, designing or constructing infrastructure.</w:t>
      </w:r>
    </w:p>
    <w:p>
      <w:r>
        <w:t>Operational Steps:</w:t>
      </w:r>
    </w:p>
    <w:p>
      <w:pPr>
        <w:pStyle w:val="ListNumber"/>
      </w:pPr>
      <w:r>
        <w:rPr>
          <w:b/>
        </w:rPr>
        <w:t>Step 1 — Select Area</w:t>
      </w:r>
      <w:r>
        <w:t xml:space="preserve"> — The client selects a point, corridor, municipality or custom area directly on the map.</w:t>
      </w:r>
    </w:p>
    <w:p>
      <w:pPr>
        <w:pStyle w:val="ListNumber"/>
      </w:pPr>
      <w:r>
        <w:rPr>
          <w:b/>
        </w:rPr>
        <w:t>Step 2 — Define Project Context</w:t>
      </w:r>
      <w:r>
        <w:t xml:space="preserve"> — The client defines the infrastructure scenario: bridge, road crossing, railway crossing or urban infrastructure.</w:t>
      </w:r>
    </w:p>
    <w:p>
      <w:pPr>
        <w:pStyle w:val="ListNumber"/>
      </w:pPr>
      <w:r>
        <w:rPr>
          <w:b/>
        </w:rPr>
        <w:t>Step 3 — Activate Hazard Context</w:t>
      </w:r>
      <w:r>
        <w:t xml:space="preserve"> — ARCUS overlays hydraulic, landslide, seismic and historical collapse layers.</w:t>
      </w:r>
    </w:p>
    <w:p>
      <w:pPr>
        <w:pStyle w:val="ListNumber"/>
      </w:pPr>
      <w:r>
        <w:rPr>
          <w:b/>
        </w:rPr>
        <w:t>Step 4 — Read Historical Evidence</w:t>
      </w:r>
      <w:r>
        <w:t xml:space="preserve"> — The platform highlights nearby collapses, recurring causes, seasonal patterns and historical triggers.</w:t>
      </w:r>
    </w:p>
    <w:p>
      <w:pPr>
        <w:pStyle w:val="ListNumber"/>
      </w:pPr>
      <w:r>
        <w:rPr>
          <w:b/>
        </w:rPr>
        <w:t>Step 5 — Generate Territory Briefing</w:t>
      </w:r>
      <w:r>
        <w:t xml:space="preserve"> — The client exports a territory assessment package.</w:t>
      </w:r>
    </w:p>
    <w:p>
      <w:r>
        <w:t>Main Outputs:</w:t>
      </w:r>
    </w:p>
    <w:p>
      <w:pPr>
        <w:pStyle w:val="ListBullet"/>
      </w:pPr>
      <w:r>
        <w:t>Territory assessment brief</w:t>
      </w:r>
    </w:p>
    <w:p>
      <w:pPr>
        <w:pStyle w:val="ListBullet"/>
      </w:pPr>
      <w:r>
        <w:t>Hazard context summary</w:t>
      </w:r>
    </w:p>
    <w:p>
      <w:pPr>
        <w:pStyle w:val="ListBullet"/>
      </w:pPr>
      <w:r>
        <w:t>Historical precedent list</w:t>
      </w:r>
    </w:p>
    <w:p>
      <w:pPr>
        <w:pStyle w:val="ListBullet"/>
      </w:pPr>
      <w:r>
        <w:t>Map exports</w:t>
      </w:r>
    </w:p>
    <w:p>
      <w:pPr>
        <w:pStyle w:val="ListBullet"/>
      </w:pPr>
      <w:r>
        <w:t>Preliminary infrastructure notes</w:t>
      </w:r>
    </w:p>
    <w:p>
      <w:r>
        <w:rPr>
          <w:b/>
        </w:rPr>
        <w:t xml:space="preserve">Operational Value: </w:t>
      </w:r>
      <w:r>
        <w:t>Helps answer: “Is this territory critical from an infrastructure perspective?”</w:t>
      </w:r>
    </w:p>
    <w:p>
      <w:pPr>
        <w:pStyle w:val="Heading2"/>
      </w:pPr>
      <w:r>
        <w:t>02 — Monitor Existing Assets</w:t>
      </w:r>
    </w:p>
    <w:p>
      <w:r>
        <w:rPr>
          <w:b/>
        </w:rPr>
        <w:t xml:space="preserve">Objective: </w:t>
      </w:r>
      <w:r>
        <w:t>Support prioritization and monitoring of existing infrastructure assets.</w:t>
      </w:r>
    </w:p>
    <w:p>
      <w:r>
        <w:t>Operational Steps:</w:t>
      </w:r>
    </w:p>
    <w:p>
      <w:pPr>
        <w:pStyle w:val="ListNumber"/>
      </w:pPr>
      <w:r>
        <w:rPr>
          <w:b/>
        </w:rPr>
        <w:t>Step 1 — Upload Inventory</w:t>
      </w:r>
      <w:r>
        <w:t xml:space="preserve"> — The client uploads an inventory of bridges or infrastructure assets.</w:t>
      </w:r>
    </w:p>
    <w:p>
      <w:pPr>
        <w:pStyle w:val="ListNumber"/>
      </w:pPr>
      <w:r>
        <w:rPr>
          <w:b/>
        </w:rPr>
        <w:t>Step 2 — Match Assets with Territory</w:t>
      </w:r>
      <w:r>
        <w:t xml:space="preserve"> — ARCUS associates each asset with hazard exposure and territorial context.</w:t>
      </w:r>
    </w:p>
    <w:p>
      <w:pPr>
        <w:pStyle w:val="ListNumber"/>
      </w:pPr>
      <w:r>
        <w:rPr>
          <w:b/>
        </w:rPr>
        <w:t>Step 3 — Compare with Historical Failures</w:t>
      </w:r>
      <w:r>
        <w:t xml:space="preserve"> — The platform compares uploaded assets with similar historical collapses.</w:t>
      </w:r>
    </w:p>
    <w:p>
      <w:pPr>
        <w:pStyle w:val="ListNumber"/>
      </w:pPr>
      <w:r>
        <w:rPr>
          <w:b/>
        </w:rPr>
        <w:t>Step 4 — Prioritize Assets</w:t>
      </w:r>
      <w:r>
        <w:t xml:space="preserve"> — ARCUS generates explainable infrastructure priority indicators.</w:t>
      </w:r>
    </w:p>
    <w:p>
      <w:pPr>
        <w:pStyle w:val="ListNumber"/>
      </w:pPr>
      <w:r>
        <w:rPr>
          <w:b/>
        </w:rPr>
        <w:t>Step 5 — Export Watchlists</w:t>
      </w:r>
      <w:r>
        <w:t xml:space="preserve"> — The client exports prioritized asset lists and monitoring outputs.</w:t>
      </w:r>
    </w:p>
    <w:p>
      <w:r>
        <w:t>Main Outputs:</w:t>
      </w:r>
    </w:p>
    <w:p>
      <w:pPr>
        <w:pStyle w:val="ListBullet"/>
      </w:pPr>
      <w:r>
        <w:t>Infrastructure watchlists</w:t>
      </w:r>
    </w:p>
    <w:p>
      <w:pPr>
        <w:pStyle w:val="ListBullet"/>
      </w:pPr>
      <w:r>
        <w:t>Priority indicators</w:t>
      </w:r>
    </w:p>
    <w:p>
      <w:pPr>
        <w:pStyle w:val="ListBullet"/>
      </w:pPr>
      <w:r>
        <w:t>Comparable collapse cases</w:t>
      </w:r>
    </w:p>
    <w:p>
      <w:pPr>
        <w:pStyle w:val="ListBullet"/>
      </w:pPr>
      <w:r>
        <w:t>GIS exports</w:t>
      </w:r>
    </w:p>
    <w:p>
      <w:pPr>
        <w:pStyle w:val="ListBullet"/>
      </w:pPr>
      <w:r>
        <w:t>PDF operational summaries</w:t>
      </w:r>
    </w:p>
    <w:p>
      <w:r>
        <w:rPr>
          <w:b/>
        </w:rPr>
        <w:t xml:space="preserve">Operational Value: </w:t>
      </w:r>
      <w:r>
        <w:t>Helps answer: “Which assets should be prioritized first?”</w:t>
      </w:r>
    </w:p>
    <w:p>
      <w:pPr>
        <w:pStyle w:val="Heading2"/>
      </w:pPr>
      <w:r>
        <w:t>03 — Analyze Extreme Event Exposure</w:t>
      </w:r>
    </w:p>
    <w:p>
      <w:r>
        <w:rPr>
          <w:b/>
        </w:rPr>
        <w:t xml:space="preserve">Objective: </w:t>
      </w:r>
      <w:r>
        <w:t>Evaluate infrastructure exposure during extreme or multi-hazard events.</w:t>
      </w:r>
    </w:p>
    <w:p>
      <w:r>
        <w:t>Operational Steps:</w:t>
      </w:r>
    </w:p>
    <w:p>
      <w:pPr>
        <w:pStyle w:val="ListNumber"/>
      </w:pPr>
      <w:r>
        <w:rPr>
          <w:b/>
        </w:rPr>
        <w:t>Step 1 — Select Event Type</w:t>
      </w:r>
      <w:r>
        <w:t xml:space="preserve"> — The client selects flood, landslide, earthquake or multi-hazard scenario.</w:t>
      </w:r>
    </w:p>
    <w:p>
      <w:pPr>
        <w:pStyle w:val="ListNumber"/>
      </w:pPr>
      <w:r>
        <w:rPr>
          <w:b/>
        </w:rPr>
        <w:t>Step 2 — Select Area or Corridor</w:t>
      </w:r>
      <w:r>
        <w:t xml:space="preserve"> — The user defines the geographical area of analysis.</w:t>
      </w:r>
    </w:p>
    <w:p>
      <w:pPr>
        <w:pStyle w:val="ListNumber"/>
      </w:pPr>
      <w:r>
        <w:rPr>
          <w:b/>
        </w:rPr>
        <w:t>Step 3 — Activate Scenario Layers</w:t>
      </w:r>
      <w:r>
        <w:t xml:space="preserve"> — ARCUS displays the relevant hazard layers and historical collapse events.</w:t>
      </w:r>
    </w:p>
    <w:p>
      <w:pPr>
        <w:pStyle w:val="ListNumber"/>
      </w:pPr>
      <w:r>
        <w:rPr>
          <w:b/>
        </w:rPr>
        <w:t>Step 4 — Compare Historical Scenarios</w:t>
      </w:r>
      <w:r>
        <w:t xml:space="preserve"> — The system identifies similar historical failures and recurring patterns.</w:t>
      </w:r>
    </w:p>
    <w:p>
      <w:pPr>
        <w:pStyle w:val="ListNumber"/>
      </w:pPr>
      <w:r>
        <w:rPr>
          <w:b/>
        </w:rPr>
        <w:t>Step 5 — Generate Scenario Briefing</w:t>
      </w:r>
      <w:r>
        <w:t xml:space="preserve"> — The client exports resilience-oriented scenario outputs.</w:t>
      </w:r>
    </w:p>
    <w:p>
      <w:r>
        <w:t>Main Outputs:</w:t>
      </w:r>
    </w:p>
    <w:p>
      <w:pPr>
        <w:pStyle w:val="ListBullet"/>
      </w:pPr>
      <w:r>
        <w:t>Extreme event exposure briefing</w:t>
      </w:r>
    </w:p>
    <w:p>
      <w:pPr>
        <w:pStyle w:val="ListBullet"/>
      </w:pPr>
      <w:r>
        <w:t>Historical analogue events</w:t>
      </w:r>
    </w:p>
    <w:p>
      <w:pPr>
        <w:pStyle w:val="ListBullet"/>
      </w:pPr>
      <w:r>
        <w:t>Hazard/collapse correlation</w:t>
      </w:r>
    </w:p>
    <w:p>
      <w:pPr>
        <w:pStyle w:val="ListBullet"/>
      </w:pPr>
      <w:r>
        <w:t>Scenario maps</w:t>
      </w:r>
    </w:p>
    <w:p>
      <w:pPr>
        <w:pStyle w:val="ListBullet"/>
      </w:pPr>
      <w:r>
        <w:t>Resilience notes</w:t>
      </w:r>
    </w:p>
    <w:p>
      <w:r>
        <w:rPr>
          <w:b/>
        </w:rPr>
        <w:t xml:space="preserve">Operational Value: </w:t>
      </w:r>
      <w:r>
        <w:t>Helps answer: “Where should attention be focused during extreme events?”</w:t>
      </w:r>
    </w:p>
    <w:p>
      <w:pPr>
        <w:pStyle w:val="Heading2"/>
      </w:pPr>
      <w:r>
        <w:t>04 — Perform Infrastructure Due Diligence</w:t>
      </w:r>
    </w:p>
    <w:p>
      <w:r>
        <w:rPr>
          <w:b/>
        </w:rPr>
        <w:t xml:space="preserve">Objective: </w:t>
      </w:r>
      <w:r>
        <w:t>Support technical evaluation before investments, acquisitions or concessions.</w:t>
      </w:r>
    </w:p>
    <w:p>
      <w:r>
        <w:t>Operational Steps:</w:t>
      </w:r>
    </w:p>
    <w:p>
      <w:pPr>
        <w:pStyle w:val="ListNumber"/>
      </w:pPr>
      <w:r>
        <w:rPr>
          <w:b/>
        </w:rPr>
        <w:t>Step 1 — Define Due Diligence Area</w:t>
      </w:r>
      <w:r>
        <w:t xml:space="preserve"> — The client selects a territory, corridor or infrastructure system.</w:t>
      </w:r>
    </w:p>
    <w:p>
      <w:pPr>
        <w:pStyle w:val="ListNumber"/>
      </w:pPr>
      <w:r>
        <w:rPr>
          <w:b/>
        </w:rPr>
        <w:t>Step 2 — Read Infrastructure Context</w:t>
      </w:r>
      <w:r>
        <w:t xml:space="preserve"> — ARCUS provides hazard exposure, historical failures and territorial intelligence.</w:t>
      </w:r>
    </w:p>
    <w:p>
      <w:pPr>
        <w:pStyle w:val="ListNumber"/>
      </w:pPr>
      <w:r>
        <w:rPr>
          <w:b/>
        </w:rPr>
        <w:t>Step 3 — Identify Critical Patterns</w:t>
      </w:r>
      <w:r>
        <w:t xml:space="preserve"> — The system highlights recurring vulnerabilities and infrastructure patterns.</w:t>
      </w:r>
    </w:p>
    <w:p>
      <w:pPr>
        <w:pStyle w:val="ListNumber"/>
      </w:pPr>
      <w:r>
        <w:rPr>
          <w:b/>
        </w:rPr>
        <w:t>Step 4 — Build Evidence Package</w:t>
      </w:r>
      <w:r>
        <w:t xml:space="preserve"> — The user selects maps, events, graphics and sources.</w:t>
      </w:r>
    </w:p>
    <w:p>
      <w:pPr>
        <w:pStyle w:val="ListNumber"/>
      </w:pPr>
      <w:r>
        <w:rPr>
          <w:b/>
        </w:rPr>
        <w:t>Step 5 — Export Due Diligence Report</w:t>
      </w:r>
      <w:r>
        <w:t xml:space="preserve"> — The platform generates a technical due diligence package.</w:t>
      </w:r>
    </w:p>
    <w:p>
      <w:r>
        <w:t>Main Outputs:</w:t>
      </w:r>
    </w:p>
    <w:p>
      <w:pPr>
        <w:pStyle w:val="ListBullet"/>
      </w:pPr>
      <w:r>
        <w:t>Technical due diligence brief</w:t>
      </w:r>
    </w:p>
    <w:p>
      <w:pPr>
        <w:pStyle w:val="ListBullet"/>
      </w:pPr>
      <w:r>
        <w:t>Historical evidence package</w:t>
      </w:r>
    </w:p>
    <w:p>
      <w:pPr>
        <w:pStyle w:val="ListBullet"/>
      </w:pPr>
      <w:r>
        <w:t>Hazard summaries</w:t>
      </w:r>
    </w:p>
    <w:p>
      <w:pPr>
        <w:pStyle w:val="ListBullet"/>
      </w:pPr>
      <w:r>
        <w:t>Source-backed reports</w:t>
      </w:r>
    </w:p>
    <w:p>
      <w:pPr>
        <w:pStyle w:val="ListBullet"/>
      </w:pPr>
      <w:r>
        <w:t>GIS exports</w:t>
      </w:r>
    </w:p>
    <w:p>
      <w:r>
        <w:rPr>
          <w:b/>
        </w:rPr>
        <w:t xml:space="preserve">Operational Value: </w:t>
      </w:r>
      <w:r>
        <w:t>Helps answer: “What should be known before investing or operating in this area?”</w:t>
      </w:r>
    </w:p>
    <w:p>
      <w:pPr>
        <w:pStyle w:val="Heading2"/>
      </w:pPr>
      <w:r>
        <w:t>05 — Build Research &amp; Intelligence</w:t>
      </w:r>
    </w:p>
    <w:p>
      <w:r>
        <w:rPr>
          <w:b/>
        </w:rPr>
        <w:t xml:space="preserve">Objective: </w:t>
      </w:r>
      <w:r>
        <w:t>Use ARCUS as a scientific and analytical infrastructure intelligence platform.</w:t>
      </w:r>
    </w:p>
    <w:p>
      <w:r>
        <w:t>Operational Steps:</w:t>
      </w:r>
    </w:p>
    <w:p>
      <w:pPr>
        <w:pStyle w:val="ListNumber"/>
      </w:pPr>
      <w:r>
        <w:rPr>
          <w:b/>
        </w:rPr>
        <w:t>Step 1 — Define Research Query</w:t>
      </w:r>
      <w:r>
        <w:t xml:space="preserve"> — The client defines filters, periods, causes and infrastructure categories.</w:t>
      </w:r>
    </w:p>
    <w:p>
      <w:pPr>
        <w:pStyle w:val="ListNumber"/>
      </w:pPr>
      <w:r>
        <w:rPr>
          <w:b/>
        </w:rPr>
        <w:t>Step 2 — Explore Dataset</w:t>
      </w:r>
      <w:r>
        <w:t xml:space="preserve"> — ARCUS displays statistical and geospatial analytics.</w:t>
      </w:r>
    </w:p>
    <w:p>
      <w:pPr>
        <w:pStyle w:val="ListNumber"/>
      </w:pPr>
      <w:r>
        <w:rPr>
          <w:b/>
        </w:rPr>
        <w:t>Step 3 — Compare Patterns</w:t>
      </w:r>
      <w:r>
        <w:t xml:space="preserve"> — The user compares regions, causes, seasons and collapse mechanisms.</w:t>
      </w:r>
    </w:p>
    <w:p>
      <w:pPr>
        <w:pStyle w:val="ListNumber"/>
      </w:pPr>
      <w:r>
        <w:rPr>
          <w:b/>
        </w:rPr>
        <w:t>Step 4 — Build Evidence Set</w:t>
      </w:r>
      <w:r>
        <w:t xml:space="preserve"> — The user selects charts, maps, events and analytical outputs.</w:t>
      </w:r>
    </w:p>
    <w:p>
      <w:pPr>
        <w:pStyle w:val="ListNumber"/>
      </w:pPr>
      <w:r>
        <w:rPr>
          <w:b/>
        </w:rPr>
        <w:t>Step 5 — Export Research Output</w:t>
      </w:r>
      <w:r>
        <w:t xml:space="preserve"> — ARCUS generates research-ready exports and reports.</w:t>
      </w:r>
    </w:p>
    <w:p>
      <w:r>
        <w:t>Main Outputs:</w:t>
      </w:r>
    </w:p>
    <w:p>
      <w:pPr>
        <w:pStyle w:val="ListBullet"/>
      </w:pPr>
      <w:r>
        <w:t>Research dataset exports</w:t>
      </w:r>
    </w:p>
    <w:p>
      <w:pPr>
        <w:pStyle w:val="ListBullet"/>
      </w:pPr>
      <w:r>
        <w:t>Charts and figures</w:t>
      </w:r>
    </w:p>
    <w:p>
      <w:pPr>
        <w:pStyle w:val="ListBullet"/>
      </w:pPr>
      <w:r>
        <w:t>Analytical reports</w:t>
      </w:r>
    </w:p>
    <w:p>
      <w:pPr>
        <w:pStyle w:val="ListBullet"/>
      </w:pPr>
      <w:r>
        <w:t>Map outputs</w:t>
      </w:r>
    </w:p>
    <w:p>
      <w:pPr>
        <w:pStyle w:val="ListBullet"/>
      </w:pPr>
      <w:r>
        <w:t>Evidence-based summaries</w:t>
      </w:r>
    </w:p>
    <w:p>
      <w:r>
        <w:rPr>
          <w:b/>
        </w:rPr>
        <w:t xml:space="preserve">Operational Value: </w:t>
      </w:r>
      <w:r>
        <w:t>Helps answer: “Which infrastructure failure patterns emerge from the data?”</w:t>
      </w:r>
    </w:p>
    <w:p>
      <w:pPr>
        <w:pStyle w:val="Heading2"/>
      </w:pPr>
      <w:r>
        <w:t>Final Operational Logic</w:t>
      </w:r>
    </w:p>
    <w:p>
      <w:r>
        <w:t>The user should always enter ARCUS with a technical problem to solve, not simply to explore a map. The platform must therefore guide the user through a structured engineering workflow capable of transforming territorial and historical data into explainable operational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