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9040"/>
          <w:sz w:val="22"/>
        </w:rPr>
        <w:t>ARCUS PROFESSIONAL</w:t>
      </w:r>
    </w:p>
    <w:p>
      <w:pPr>
        <w:jc w:val="center"/>
      </w:pPr>
      <w:r>
        <w:rPr>
          <w:b/>
          <w:color w:val="1C1713"/>
          <w:sz w:val="44"/>
        </w:rPr>
        <w:t>Path 01 - Atlas Map Extraction and Project-Context Design Recommendations</w:t>
      </w:r>
    </w:p>
    <w:p>
      <w:pPr>
        <w:jc w:val="center"/>
      </w:pPr>
      <w:r>
        <w:rPr>
          <w:i/>
          <w:color w:val="4F463D"/>
          <w:sz w:val="24"/>
        </w:rPr>
        <w:t>Operational report for implementation in ARCUS Professional</w:t>
      </w:r>
    </w:p>
    <w:p/>
    <w:tbl>
      <w:tblPr>
        <w:tblW w:type="auto" w:w="0"/>
        <w:tblLook w:firstColumn="1" w:firstRow="1" w:lastColumn="0" w:lastRow="0" w:noHBand="0" w:noVBand="1" w:val="04A0"/>
      </w:tblPr>
      <w:tblGrid>
        <w:gridCol w:w="10080"/>
      </w:tblGrid>
      <w:tr>
        <w:tc>
          <w:tcPr>
            <w:tcW w:type="dxa" w:w="10080"/>
            <w:shd w:fill="F6EFE6"/>
          </w:tcPr>
          <w:p>
            <w:pPr>
              <w:spacing w:after="40"/>
            </w:pPr>
            <w:r>
              <w:rPr>
                <w:b/>
                <w:color w:val="7A6548"/>
              </w:rPr>
              <w:t xml:space="preserve">Obiettivo: </w:t>
            </w:r>
            <w:r>
              <w:t>Rendere il report Path 01 un PDF professionale: mappa reale estratta dall’Atlas, raccomandazioni dinamiche basate sul project context e output stabile senza elementi da stampa browser.</w:t>
            </w:r>
          </w:p>
        </w:tc>
      </w:tr>
    </w:tbl>
    <w:p>
      <w:pPr>
        <w:pStyle w:val="Heading1"/>
      </w:pPr>
      <w:r>
        <w:t>1. Decisione strategica</w:t>
      </w:r>
    </w:p>
    <w:p>
      <w:r>
        <w:t>La direzione corretta è non ricostruire la mappa nel report. Il report deve ricevere una cattura reale dello stato dell’Atlas, già filtrata sulla provincia e sul project context selezionato. Allo stesso tempo, le raccomandazioni devono cambiare in base a ciò che l’utente sceglie nello step 2: Bridge, Road crossing, Railway crossing oppure Urban infrastructure.</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C49040"/>
          </w:tcPr>
          <w:p>
            <w:pPr>
              <w:spacing w:after="40"/>
            </w:pPr>
            <w:r>
              <w:rPr>
                <w:b/>
                <w:color w:val="15110F"/>
              </w:rPr>
              <w:t>Tema</w:t>
            </w:r>
          </w:p>
        </w:tc>
        <w:tc>
          <w:tcPr>
            <w:tcW w:type="dxa" w:w="3360"/>
            <w:shd w:fill="C49040"/>
          </w:tcPr>
          <w:p>
            <w:pPr>
              <w:spacing w:after="40"/>
            </w:pPr>
            <w:r>
              <w:rPr>
                <w:b/>
                <w:color w:val="15110F"/>
              </w:rPr>
              <w:t>Scelta consigliata</w:t>
            </w:r>
          </w:p>
        </w:tc>
        <w:tc>
          <w:tcPr>
            <w:tcW w:type="dxa" w:w="3360"/>
            <w:shd w:fill="C49040"/>
          </w:tcPr>
          <w:p>
            <w:pPr>
              <w:spacing w:after="40"/>
            </w:pPr>
            <w:r>
              <w:rPr>
                <w:b/>
                <w:color w:val="15110F"/>
              </w:rPr>
              <w:t>Perché</w:t>
            </w:r>
          </w:p>
        </w:tc>
      </w:tr>
      <w:tr>
        <w:tc>
          <w:tcPr>
            <w:tcW w:type="dxa" w:w="3360"/>
            <w:vAlign w:val="top"/>
          </w:tcPr>
          <w:p>
            <w:pPr>
              <w:spacing w:after="40"/>
            </w:pPr>
            <w:r>
              <w:t>Mappa</w:t>
            </w:r>
          </w:p>
        </w:tc>
        <w:tc>
          <w:tcPr>
            <w:tcW w:type="dxa" w:w="3360"/>
            <w:vAlign w:val="top"/>
          </w:tcPr>
          <w:p>
            <w:pPr>
              <w:spacing w:after="40"/>
            </w:pPr>
            <w:r>
              <w:t>Estrarla dall’Atlas come PNG/JPEG</w:t>
            </w:r>
          </w:p>
        </w:tc>
        <w:tc>
          <w:tcPr>
            <w:tcW w:type="dxa" w:w="3360"/>
            <w:vAlign w:val="top"/>
          </w:tcPr>
          <w:p>
            <w:pPr>
              <w:spacing w:after="40"/>
            </w:pPr>
            <w:r>
              <w:t>Garantisce coerenza con ciò che vede l’utente e rende il PDF credibile.</w:t>
            </w:r>
          </w:p>
        </w:tc>
      </w:tr>
      <w:tr>
        <w:tc>
          <w:tcPr>
            <w:tcW w:type="dxa" w:w="3360"/>
            <w:vAlign w:val="top"/>
          </w:tcPr>
          <w:p>
            <w:pPr>
              <w:spacing w:after="40"/>
            </w:pPr>
            <w:r>
              <w:t>PDF</w:t>
            </w:r>
          </w:p>
        </w:tc>
        <w:tc>
          <w:tcPr>
            <w:tcW w:type="dxa" w:w="3360"/>
            <w:vAlign w:val="top"/>
          </w:tcPr>
          <w:p>
            <w:pPr>
              <w:spacing w:after="40"/>
            </w:pPr>
            <w:r>
              <w:t>Generarlo con Playwright/Puppeteer</w:t>
            </w:r>
          </w:p>
        </w:tc>
        <w:tc>
          <w:tcPr>
            <w:tcW w:type="dxa" w:w="3360"/>
            <w:vAlign w:val="top"/>
          </w:tcPr>
          <w:p>
            <w:pPr>
              <w:spacing w:after="40"/>
            </w:pPr>
            <w:r>
              <w:t>Elimina about:blank, header browser e difetti della stampa manuale.</w:t>
            </w:r>
          </w:p>
        </w:tc>
      </w:tr>
      <w:tr>
        <w:tc>
          <w:tcPr>
            <w:tcW w:type="dxa" w:w="3360"/>
            <w:vAlign w:val="top"/>
          </w:tcPr>
          <w:p>
            <w:pPr>
              <w:spacing w:after="40"/>
            </w:pPr>
            <w:r>
              <w:t>Path 01</w:t>
            </w:r>
          </w:p>
        </w:tc>
        <w:tc>
          <w:tcPr>
            <w:tcW w:type="dxa" w:w="3360"/>
            <w:vAlign w:val="top"/>
          </w:tcPr>
          <w:p>
            <w:pPr>
              <w:spacing w:after="40"/>
            </w:pPr>
            <w:r>
              <w:t>Mantenere province-only</w:t>
            </w:r>
          </w:p>
        </w:tc>
        <w:tc>
          <w:tcPr>
            <w:tcW w:type="dxa" w:w="3360"/>
            <w:vAlign w:val="top"/>
          </w:tcPr>
          <w:p>
            <w:pPr>
              <w:spacing w:after="40"/>
            </w:pPr>
            <w:r>
              <w:t>Riduce ambiguità e rende stabili analisi, testi, benchmark e limiti.</w:t>
            </w:r>
          </w:p>
        </w:tc>
      </w:tr>
      <w:tr>
        <w:tc>
          <w:tcPr>
            <w:tcW w:type="dxa" w:w="3360"/>
            <w:vAlign w:val="top"/>
          </w:tcPr>
          <w:p>
            <w:pPr>
              <w:spacing w:after="40"/>
            </w:pPr>
            <w:r>
              <w:t>Raccomandazioni</w:t>
            </w:r>
          </w:p>
        </w:tc>
        <w:tc>
          <w:tcPr>
            <w:tcW w:type="dxa" w:w="3360"/>
            <w:vAlign w:val="top"/>
          </w:tcPr>
          <w:p>
            <w:pPr>
              <w:spacing w:after="40"/>
            </w:pPr>
            <w:r>
              <w:t>Usare project context + dominant driver</w:t>
            </w:r>
          </w:p>
        </w:tc>
        <w:tc>
          <w:tcPr>
            <w:tcW w:type="dxa" w:w="3360"/>
            <w:vAlign w:val="top"/>
          </w:tcPr>
          <w:p>
            <w:pPr>
              <w:spacing w:after="40"/>
            </w:pPr>
            <w:r>
              <w:t>Trasforma il report da elenco dati a supporto operativo preliminare.</w:t>
            </w:r>
          </w:p>
        </w:tc>
      </w:tr>
    </w:tbl>
    <w:p>
      <w:r>
        <w:br w:type="page"/>
      </w:r>
    </w:p>
    <w:p>
      <w:pPr>
        <w:pStyle w:val="Heading1"/>
      </w:pPr>
      <w:r>
        <w:t>2. Estrazione della mappa dall’Atlas</w:t>
      </w:r>
    </w:p>
    <w:p>
      <w:r>
        <w:t>La mappa finale del report deve essere una cattura della vera mappa ARCUS Atlas/Professional, non una mappa ricostruita nel template HTML del report. Questo evita incoerenze tra piattaforma e PDF e consente di usare boundary, marker, layer e legenda già validati nella UI.</w:t>
      </w:r>
    </w:p>
    <w:tbl>
      <w:tblPr>
        <w:tblW w:type="auto" w:w="0"/>
        <w:tblLook w:firstColumn="1" w:firstRow="1" w:lastColumn="0" w:lastRow="0" w:noHBand="0" w:noVBand="1" w:val="04A0"/>
      </w:tblPr>
      <w:tblGrid>
        <w:gridCol w:w="10080"/>
      </w:tblGrid>
      <w:tr>
        <w:tc>
          <w:tcPr>
            <w:tcW w:type="dxa" w:w="10080"/>
            <w:shd w:fill="F6EFE6"/>
          </w:tcPr>
          <w:p>
            <w:pPr>
              <w:spacing w:after="40"/>
            </w:pPr>
            <w:r>
              <w:rPr>
                <w:b/>
                <w:color w:val="7A6548"/>
              </w:rPr>
              <w:t xml:space="preserve">Principio operativo: </w:t>
            </w:r>
            <w:r>
              <w:t>Atlas genera la mappa. Report impagina la mappa. PDF congela il risultato.</w:t>
            </w:r>
          </w:p>
        </w:tc>
      </w:tr>
    </w:tbl>
    <w:p>
      <w:pPr>
        <w:pStyle w:val="Heading2"/>
      </w:pPr>
      <w:r>
        <w:t>2.1 Flusso consigliato</w:t>
      </w:r>
    </w:p>
    <w:p>
      <w:pPr>
        <w:pStyle w:val="ListNumber"/>
      </w:pPr>
      <w:r>
        <w:t>L’utente seleziona provincia e project context.</w:t>
      </w:r>
    </w:p>
    <w:p>
      <w:pPr>
        <w:pStyle w:val="ListNumber"/>
      </w:pPr>
      <w:r>
        <w:t>Atlas applica filtro provincia, boundary amministrativo, marker eventi e layer hazard rilevanti.</w:t>
      </w:r>
    </w:p>
    <w:p>
      <w:pPr>
        <w:pStyle w:val="ListNumber"/>
      </w:pPr>
      <w:r>
        <w:t>La mappa si centra sul bounding box della provincia.</w:t>
      </w:r>
    </w:p>
    <w:p>
      <w:pPr>
        <w:pStyle w:val="ListNumber"/>
      </w:pPr>
      <w:r>
        <w:t>Una rotta tecnica interna renderizza solo la mappa pulita.</w:t>
      </w:r>
    </w:p>
    <w:p>
      <w:pPr>
        <w:pStyle w:val="ListNumber"/>
      </w:pPr>
      <w:r>
        <w:t>Playwright/Puppeteer cattura il container della mappa come immagine ad alta risoluzione.</w:t>
      </w:r>
    </w:p>
    <w:p>
      <w:pPr>
        <w:pStyle w:val="ListNumber"/>
      </w:pPr>
      <w:r>
        <w:t>Il report riceve mapImage e la impagina nel PDF.</w:t>
      </w:r>
    </w:p>
    <w:p>
      <w:pPr>
        <w:pStyle w:val="Heading2"/>
      </w:pPr>
      <w:r>
        <w:t>2.2 Rotta tecnica consigliata</w:t>
      </w:r>
    </w:p>
    <w:p>
      <w:r>
        <w:t>Creare una pagina nascosta o tecnica, dedicata all’export mappa:</w:t>
      </w:r>
    </w:p>
    <w:p>
      <w:pPr>
        <w:spacing w:after="80"/>
        <w:ind w:left="216"/>
      </w:pPr>
      <w:r>
        <w:rPr>
          <w:rFonts w:ascii="Consolas" w:hAnsi="Consolas" w:eastAsia="Consolas"/>
          <w:sz w:val="16"/>
        </w:rPr>
        <w:t>/report-map/path01?province=Torino&amp;context=Road-crossing</w:t>
      </w:r>
    </w:p>
    <w:p>
      <w:pPr>
        <w:pStyle w:val="ListBullet"/>
      </w:pPr>
      <w:r>
        <w:t>Nessuna sidebar, filtro o bottone.</w:t>
      </w:r>
    </w:p>
    <w:p>
      <w:pPr>
        <w:pStyle w:val="ListBullet"/>
      </w:pPr>
      <w:r>
        <w:t>Solo mappa Leaflet, boundary provincia, marker eventi, legenda, nord, scala e attribution.</w:t>
      </w:r>
    </w:p>
    <w:p>
      <w:pPr>
        <w:pStyle w:val="ListBullet"/>
      </w:pPr>
      <w:r>
        <w:t>Classe stabile sul container: .atlas-map-export.</w:t>
      </w:r>
    </w:p>
    <w:p>
      <w:pPr>
        <w:pStyle w:val="ListBullet"/>
      </w:pPr>
      <w:r>
        <w:t>Classe ready quando tile/layer sono caricati: .atlas-map-export-ready.</w:t>
      </w:r>
    </w:p>
    <w:p>
      <w:pPr>
        <w:pStyle w:val="Heading2"/>
      </w:pPr>
      <w:r>
        <w:t>2.3 Contenuto minimo della mappa</w:t>
      </w:r>
    </w:p>
    <w:p>
      <w:pPr>
        <w:pStyle w:val="ListBullet"/>
      </w:pPr>
      <w:r>
        <w:t>Basemap reale e pulita.</w:t>
      </w:r>
    </w:p>
    <w:p>
      <w:pPr>
        <w:pStyle w:val="ListBullet"/>
      </w:pPr>
      <w:r>
        <w:t>Provincia selezionata evidenziata.</w:t>
      </w:r>
    </w:p>
    <w:p>
      <w:pPr>
        <w:pStyle w:val="ListBullet"/>
      </w:pPr>
      <w:r>
        <w:t>Marker ARCUS filtrati per provincia.</w:t>
      </w:r>
    </w:p>
    <w:p>
      <w:pPr>
        <w:pStyle w:val="ListBullet"/>
      </w:pPr>
      <w:r>
        <w:t>Legenda coerente con cause/severity o con classi di marker usate nell’Atlas.</w:t>
      </w:r>
    </w:p>
    <w:p>
      <w:pPr>
        <w:pStyle w:val="ListBullet"/>
      </w:pPr>
      <w:r>
        <w:t>Layer hazard principali solo se leggibili nel PDF.</w:t>
      </w:r>
    </w:p>
    <w:p>
      <w:pPr>
        <w:pStyle w:val="ListBullet"/>
      </w:pPr>
      <w:r>
        <w:t>Nota: “Territorial screening map. Not for design scale.”</w:t>
      </w:r>
    </w:p>
    <w:p>
      <w:r>
        <w:br w:type="page"/>
      </w:r>
    </w:p>
    <w:p>
      <w:pPr>
        <w:pStyle w:val="Heading1"/>
      </w:pPr>
      <w:r>
        <w:t>3. Implementazione tecnica PDF e mappa</w:t>
      </w:r>
    </w:p>
    <w:p>
      <w:pPr>
        <w:pStyle w:val="Heading2"/>
      </w:pPr>
      <w:r>
        <w:t>3.1 Cattura con Playwright</w:t>
      </w:r>
    </w:p>
    <w:p>
      <w:r>
        <w:t>Per un output Professional è preferibile usare Playwright/Puppeteer invece di html2canvas. È più stabile con tile map, WMS, marker e rendering asincrono.</w:t>
      </w:r>
    </w:p>
    <w:p>
      <w:pPr>
        <w:spacing w:after="80"/>
        <w:ind w:left="216"/>
      </w:pPr>
      <w:r>
        <w:rPr>
          <w:rFonts w:ascii="Consolas" w:hAnsi="Consolas" w:eastAsia="Consolas"/>
          <w:sz w:val="16"/>
        </w:rPr>
        <w:t>const page = await browser.newPage({</w:t>
        <w:br/>
        <w:t xml:space="preserve">  viewport: { width: 1400, height: 760, deviceScaleFactor: 2 }</w:t>
        <w:br/>
        <w:t>});</w:t>
        <w:br/>
        <w:t>await page.goto(mapUrl, { waitUntil: 'networkidle' });</w:t>
        <w:br/>
        <w:t>await page.waitForSelector('.atlas-map-export-ready');</w:t>
        <w:br/>
        <w:t>await page.locator('.atlas-map-export').screenshot({ path: mapPath });</w:t>
      </w:r>
    </w:p>
    <w:p>
      <w:pPr>
        <w:pStyle w:val="Heading2"/>
      </w:pPr>
      <w:r>
        <w:t>3.2 Inserimento nel report</w:t>
      </w:r>
    </w:p>
    <w:p>
      <w:pPr>
        <w:spacing w:after="80"/>
        <w:ind w:left="216"/>
      </w:pPr>
      <w:r>
        <w:rPr>
          <w:rFonts w:ascii="Consolas" w:hAnsi="Consolas" w:eastAsia="Consolas"/>
          <w:sz w:val="16"/>
        </w:rPr>
        <w:t>const reportData = {</w:t>
        <w:br/>
        <w:t xml:space="preserve">  province: 'Torino',</w:t>
        <w:br/>
        <w:t xml:space="preserve">  projectContext: 'Road crossing',</w:t>
        <w:br/>
        <w:t xml:space="preserve">  mapImage: '/exports/maps/torino-path01-map.png'</w:t>
        <w:br/>
        <w:t>};</w:t>
      </w:r>
    </w:p>
    <w:p>
      <w:pPr>
        <w:spacing w:after="80"/>
        <w:ind w:left="216"/>
      </w:pPr>
      <w:r>
        <w:rPr>
          <w:rFonts w:ascii="Consolas" w:hAnsi="Consolas" w:eastAsia="Consolas"/>
          <w:sz w:val="16"/>
        </w:rPr>
        <w:t>&lt;div class='real-map-frame'&gt;</w:t>
        <w:br/>
        <w:t xml:space="preserve">  &lt;img src='${reportData.mapImage}' alt='ARCUS Atlas extract - Torino' /&gt;</w:t>
        <w:br/>
        <w:t>&lt;/div&gt;</w:t>
      </w:r>
    </w:p>
    <w:p>
      <w:pPr>
        <w:pStyle w:val="Heading2"/>
      </w:pPr>
      <w:r>
        <w:t>3.3 Generazione PDF senza about:blank</w:t>
      </w:r>
    </w:p>
    <w:p>
      <w:r>
        <w:t>Il problema about:blank nasce dalla stampa browser. Il PDF finale deve essere generato con header/footer disattivati.</w:t>
      </w:r>
    </w:p>
    <w:p>
      <w:pPr>
        <w:spacing w:after="80"/>
        <w:ind w:left="216"/>
      </w:pPr>
      <w:r>
        <w:rPr>
          <w:rFonts w:ascii="Consolas" w:hAnsi="Consolas" w:eastAsia="Consolas"/>
          <w:sz w:val="16"/>
        </w:rPr>
        <w:t>await page.pdf({</w:t>
        <w:br/>
        <w:t xml:space="preserve">  path: 'arcus-report.pdf',</w:t>
        <w:br/>
        <w:t xml:space="preserve">  format: 'A4',</w:t>
        <w:br/>
        <w:t xml:space="preserve">  printBackground: true,</w:t>
        <w:br/>
        <w:t xml:space="preserve">  displayHeaderFooter: false,</w:t>
        <w:br/>
        <w:t xml:space="preserve">  margin: { top: '14mm', right: '14mm', bottom: '14mm', left: '14mm' }</w:t>
        <w:br/>
        <w:t>});</w:t>
      </w:r>
    </w:p>
    <w:tbl>
      <w:tblPr>
        <w:tblW w:type="auto" w:w="0"/>
        <w:tblLook w:firstColumn="1" w:firstRow="1" w:lastColumn="0" w:lastRow="0" w:noHBand="0" w:noVBand="1" w:val="04A0"/>
      </w:tblPr>
      <w:tblGrid>
        <w:gridCol w:w="10080"/>
      </w:tblGrid>
      <w:tr>
        <w:tc>
          <w:tcPr>
            <w:tcW w:type="dxa" w:w="10080"/>
            <w:shd w:fill="F6EFE6"/>
          </w:tcPr>
          <w:p>
            <w:pPr>
              <w:spacing w:after="40"/>
            </w:pPr>
            <w:r>
              <w:rPr>
                <w:b/>
                <w:color w:val="7A6548"/>
              </w:rPr>
              <w:t xml:space="preserve">Priorità: </w:t>
            </w:r>
            <w:r>
              <w:t>Prima sistemare la generazione PDF e la cattura della mappa. Poi rifinire testo, layout e raccomandazioni.</w:t>
            </w:r>
          </w:p>
        </w:tc>
      </w:tr>
    </w:tbl>
    <w:p>
      <w:r>
        <w:br w:type="page"/>
      </w:r>
    </w:p>
    <w:p>
      <w:pPr>
        <w:pStyle w:val="Heading1"/>
      </w:pPr>
      <w:r>
        <w:t>4. Project context: come deve influenzare il report</w:t>
      </w:r>
    </w:p>
    <w:p>
      <w:r>
        <w:t>Lo step 2 “Define project context” deve avere un effetto reale sul contenuto del PDF. Il report deve combinare project context, driver dominante e provincia per generare una sezione operativa utile alla fase preliminare di progetto o due diligence.</w:t>
      </w:r>
    </w:p>
    <w:tbl>
      <w:tblPr>
        <w:tblW w:type="auto" w:w="0"/>
        <w:tblLook w:firstColumn="1" w:firstRow="1" w:lastColumn="0" w:lastRow="0" w:noHBand="0" w:noVBand="1" w:val="04A0"/>
      </w:tblPr>
      <w:tblGrid>
        <w:gridCol w:w="10080"/>
      </w:tblGrid>
      <w:tr>
        <w:tc>
          <w:tcPr>
            <w:tcW w:type="dxa" w:w="10080"/>
            <w:shd w:fill="F6EFE6"/>
          </w:tcPr>
          <w:p>
            <w:pPr>
              <w:spacing w:after="40"/>
            </w:pPr>
            <w:r>
              <w:rPr>
                <w:b/>
                <w:color w:val="7A6548"/>
              </w:rPr>
              <w:t xml:space="preserve">Formula: </w:t>
            </w:r>
            <w:r>
              <w:t>Province selected + Project context + Dominant historical driver + Hazard context + Comparable precedents = Project-specific preliminary design focus.</w:t>
            </w:r>
          </w:p>
        </w:tc>
      </w:tr>
    </w:tbl>
    <w:p>
      <w:pPr>
        <w:pStyle w:val="Heading2"/>
      </w:pPr>
      <w:r>
        <w:t>4.1 Nuova sezione da aggiungere nel PDF</w:t>
      </w:r>
    </w:p>
    <w:p>
      <w:r>
        <w:t>Inserire dopo “Interpretation” e prima di “Decision Use” una sezione denominata:</w:t>
      </w:r>
    </w:p>
    <w:p>
      <w:r>
        <w:rPr>
          <w:b/>
          <w:color w:val="C49040"/>
        </w:rPr>
        <w:t>Project-Context Design Focus</w:t>
      </w:r>
    </w:p>
    <w:p>
      <w:r>
        <w:t>Questa sezione non deve fornire prescrizioni progettuali definitive. Deve invece indicare quali temi tecnici meritano attenzione preliminare e quali verifiche sito-specifiche devono essere avviate.</w:t>
      </w:r>
    </w:p>
    <w:p>
      <w:pPr>
        <w:pStyle w:val="Heading2"/>
      </w:pPr>
      <w:r>
        <w:t>4.2 Esempio per il caso attuale: Torino + Road crossing + Hydraulic</w:t>
      </w:r>
    </w:p>
    <w:p>
      <w:r>
        <w:t>Se l’utente seleziona Road crossing e il driver dominante è Hydraulic, il report deve concentrarsi su continuità della rete stradale, drenaggio, culvert, attraversamenti minori, erosione dei rilevati e accessibilità durante eventi estremi.</w:t>
      </w:r>
    </w:p>
    <w:tbl>
      <w:tblPr>
        <w:tblW w:type="auto" w:w="0"/>
        <w:tblLook w:firstColumn="1" w:firstRow="1" w:lastColumn="0" w:lastRow="0" w:noHBand="0" w:noVBand="1" w:val="04A0"/>
      </w:tblPr>
      <w:tblGrid>
        <w:gridCol w:w="10080"/>
      </w:tblGrid>
      <w:tr>
        <w:tc>
          <w:tcPr>
            <w:tcW w:type="dxa" w:w="10080"/>
            <w:shd w:fill="F6EFE6"/>
          </w:tcPr>
          <w:p>
            <w:pPr>
              <w:spacing w:after="40"/>
            </w:pPr>
            <w:r>
              <w:rPr>
                <w:b/>
                <w:color w:val="7A6548"/>
              </w:rPr>
              <w:t xml:space="preserve">Testo consigliato: </w:t>
            </w:r>
            <w:r>
              <w:t>For road crossing interventions in the province of Torino, preliminary design attention should focus on flood interruption, drainage capacity, culvert and minor crossing performance, local erosion, debris blockage and accessibility during extreme events. ARCUS evidence indicates that hydraulic-triggered precedents dominate the selected province; site-specific hydraulic and geotechnical checks are required before design decisions.</w:t>
            </w:r>
          </w:p>
        </w:tc>
      </w:tr>
    </w:tbl>
    <w:p>
      <w:r>
        <w:br w:type="page"/>
      </w:r>
    </w:p>
    <w:p>
      <w:pPr>
        <w:pStyle w:val="Heading1"/>
      </w:pPr>
      <w:r>
        <w:t>5. Matrice raccomandazioni per project context</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C49040"/>
          </w:tcPr>
          <w:p>
            <w:pPr>
              <w:spacing w:after="40"/>
            </w:pPr>
            <w:r>
              <w:rPr>
                <w:b/>
                <w:color w:val="15110F"/>
              </w:rPr>
              <w:t>Project context</w:t>
            </w:r>
          </w:p>
        </w:tc>
        <w:tc>
          <w:tcPr>
            <w:tcW w:type="dxa" w:w="3360"/>
            <w:shd w:fill="C49040"/>
          </w:tcPr>
          <w:p>
            <w:pPr>
              <w:spacing w:after="40"/>
            </w:pPr>
            <w:r>
              <w:rPr>
                <w:b/>
                <w:color w:val="15110F"/>
              </w:rPr>
              <w:t>Se driver dominante = Hydraulic</w:t>
            </w:r>
          </w:p>
        </w:tc>
        <w:tc>
          <w:tcPr>
            <w:tcW w:type="dxa" w:w="3360"/>
            <w:shd w:fill="C49040"/>
          </w:tcPr>
          <w:p>
            <w:pPr>
              <w:spacing w:after="40"/>
            </w:pPr>
            <w:r>
              <w:rPr>
                <w:b/>
                <w:color w:val="15110F"/>
              </w:rPr>
              <w:t>Focus preliminare da riportare nel PDF</w:t>
            </w:r>
          </w:p>
        </w:tc>
      </w:tr>
      <w:tr>
        <w:tc>
          <w:tcPr>
            <w:tcW w:type="dxa" w:w="3360"/>
            <w:vAlign w:val="top"/>
          </w:tcPr>
          <w:p>
            <w:pPr>
              <w:spacing w:after="40"/>
            </w:pPr>
            <w:r>
              <w:t>Bridge</w:t>
            </w:r>
          </w:p>
        </w:tc>
        <w:tc>
          <w:tcPr>
            <w:tcW w:type="dxa" w:w="3360"/>
            <w:vAlign w:val="top"/>
          </w:tcPr>
          <w:p>
            <w:pPr>
              <w:spacing w:after="40"/>
            </w:pPr>
            <w:r>
              <w:t>Ponti e nuovi attraversamenti</w:t>
            </w:r>
          </w:p>
        </w:tc>
        <w:tc>
          <w:tcPr>
            <w:tcW w:type="dxa" w:w="3360"/>
            <w:vAlign w:val="top"/>
          </w:tcPr>
          <w:p>
            <w:pPr>
              <w:spacing w:after="40"/>
            </w:pPr>
            <w:r>
              <w:t>Compatibilità idraulica, scour, esposizione fondazioni, dinamica d’alveo, debris/flood scenarios.</w:t>
            </w:r>
          </w:p>
        </w:tc>
      </w:tr>
      <w:tr>
        <w:tc>
          <w:tcPr>
            <w:tcW w:type="dxa" w:w="3360"/>
            <w:vAlign w:val="top"/>
          </w:tcPr>
          <w:p>
            <w:pPr>
              <w:spacing w:after="40"/>
            </w:pPr>
            <w:r>
              <w:t>Road crossing</w:t>
            </w:r>
          </w:p>
        </w:tc>
        <w:tc>
          <w:tcPr>
            <w:tcW w:type="dxa" w:w="3360"/>
            <w:vAlign w:val="top"/>
          </w:tcPr>
          <w:p>
            <w:pPr>
              <w:spacing w:after="40"/>
            </w:pPr>
            <w:r>
              <w:t>Attraversamenti stradali</w:t>
            </w:r>
          </w:p>
        </w:tc>
        <w:tc>
          <w:tcPr>
            <w:tcW w:type="dxa" w:w="3360"/>
            <w:vAlign w:val="top"/>
          </w:tcPr>
          <w:p>
            <w:pPr>
              <w:spacing w:after="40"/>
            </w:pPr>
            <w:r>
              <w:t>Continuità della rete, drenaggio, tombini/culvert, erosione rilevati, interruzione accessibilità, accumulo detriti.</w:t>
            </w:r>
          </w:p>
        </w:tc>
      </w:tr>
      <w:tr>
        <w:tc>
          <w:tcPr>
            <w:tcW w:type="dxa" w:w="3360"/>
            <w:vAlign w:val="top"/>
          </w:tcPr>
          <w:p>
            <w:pPr>
              <w:spacing w:after="40"/>
            </w:pPr>
            <w:r>
              <w:t>Railway crossing</w:t>
            </w:r>
          </w:p>
        </w:tc>
        <w:tc>
          <w:tcPr>
            <w:tcW w:type="dxa" w:w="3360"/>
            <w:vAlign w:val="top"/>
          </w:tcPr>
          <w:p>
            <w:pPr>
              <w:spacing w:after="40"/>
            </w:pPr>
            <w:r>
              <w:t>Attraversamenti ferroviari</w:t>
            </w:r>
          </w:p>
        </w:tc>
        <w:tc>
          <w:tcPr>
            <w:tcW w:type="dxa" w:w="3360"/>
            <w:vAlign w:val="top"/>
          </w:tcPr>
          <w:p>
            <w:pPr>
              <w:spacing w:after="40"/>
            </w:pPr>
            <w:r>
              <w:t>Stabilità rilevati, aperture idrauliche, supporti soggetti a scour, continuità del servizio, conseguenze di interruzione.</w:t>
            </w:r>
          </w:p>
        </w:tc>
      </w:tr>
      <w:tr>
        <w:tc>
          <w:tcPr>
            <w:tcW w:type="dxa" w:w="3360"/>
            <w:vAlign w:val="top"/>
          </w:tcPr>
          <w:p>
            <w:pPr>
              <w:spacing w:after="40"/>
            </w:pPr>
            <w:r>
              <w:t>Urban infrastructure</w:t>
            </w:r>
          </w:p>
        </w:tc>
        <w:tc>
          <w:tcPr>
            <w:tcW w:type="dxa" w:w="3360"/>
            <w:vAlign w:val="top"/>
          </w:tcPr>
          <w:p>
            <w:pPr>
              <w:spacing w:after="40"/>
            </w:pPr>
            <w:r>
              <w:t>Contesto urbano</w:t>
            </w:r>
          </w:p>
        </w:tc>
        <w:tc>
          <w:tcPr>
            <w:tcW w:type="dxa" w:w="3360"/>
            <w:vAlign w:val="top"/>
          </w:tcPr>
          <w:p>
            <w:pPr>
              <w:spacing w:after="40"/>
            </w:pPr>
            <w:r>
              <w:t>Drenaggio locale, sottopassi, attraversamenti minori, flood-routing, interazione con aree dense e piani di protezione civile.</w:t>
            </w:r>
          </w:p>
        </w:tc>
      </w:tr>
    </w:tbl>
    <w:p>
      <w:pPr>
        <w:pStyle w:val="Heading2"/>
      </w:pPr>
      <w:r>
        <w:t>5.1 Raccomandazioni operative per Road crossing + Hydraulic</w:t>
      </w:r>
    </w:p>
    <w:p>
      <w:pPr>
        <w:pStyle w:val="ListNumber"/>
      </w:pPr>
      <w:r>
        <w:t>For road crossing interventions in the province of Torino, prioritise preliminary checks on flood interruption, drainage capacity and local erosion mechanisms.</w:t>
      </w:r>
    </w:p>
    <w:p>
      <w:pPr>
        <w:pStyle w:val="ListNumber"/>
      </w:pPr>
      <w:r>
        <w:t>Review culverts, minor bridges, embankments and road drainage bottlenecks that may concentrate flows or debris during extreme rainfall.</w:t>
      </w:r>
    </w:p>
    <w:p>
      <w:pPr>
        <w:pStyle w:val="ListNumber"/>
      </w:pPr>
      <w:r>
        <w:t>Assess accessibility and alternative routes where historical hydraulic precedents indicate possible interruption of the road network.</w:t>
      </w:r>
    </w:p>
    <w:p>
      <w:pPr>
        <w:pStyle w:val="ListNumber"/>
      </w:pPr>
      <w:r>
        <w:t>Compare the planned intervention with documented hydraulic-triggered collapses in the priority municipalities identified by ARCUS.</w:t>
      </w:r>
    </w:p>
    <w:p>
      <w:pPr>
        <w:pStyle w:val="ListNumber"/>
      </w:pPr>
      <w:r>
        <w:t>Use public WMS layers and ARCUS precedents as first-level screening, then commission site-specific hydraulic and geotechnical checks before design decisions.</w:t>
      </w:r>
    </w:p>
    <w:p>
      <w:r>
        <w:br w:type="page"/>
      </w:r>
    </w:p>
    <w:p>
      <w:pPr>
        <w:pStyle w:val="Heading1"/>
      </w:pPr>
      <w:r>
        <w:t>6. Funzione JavaScript consigliata</w:t>
      </w:r>
    </w:p>
    <w:p>
      <w:r>
        <w:t>Implementare una funzione unica che riceve projectContext, dominantCause, provinceName e priorityMunicipalities. La funzione restituisce interpretation, designFocus e recommendations coerenti con lo scenario selezionato.</w:t>
      </w:r>
    </w:p>
    <w:p>
      <w:pPr>
        <w:spacing w:after="80"/>
        <w:ind w:left="216"/>
      </w:pPr>
      <w:r>
        <w:rPr>
          <w:rFonts w:ascii="Consolas" w:hAnsi="Consolas" w:eastAsia="Consolas"/>
          <w:sz w:val="16"/>
        </w:rPr>
        <w:t>function getProjectContextRecommendations({ projectContext, dominantCause, provinceName, priorityMunicipalities }) {</w:t>
        <w:br/>
        <w:t xml:space="preserve">  const places = priorityMunicipalities.slice(0, 5).join(', ');</w:t>
        <w:br/>
        <w:br/>
        <w:t xml:space="preserve">  if (dominantCause === 'Hydraulic' &amp;&amp; projectContext === 'Road crossing') {</w:t>
        <w:br/>
        <w:t xml:space="preserve">    return [</w:t>
        <w:br/>
        <w:t xml:space="preserve">      `For road crossing interventions in the province of ${provinceName}, prioritise flood interruption, drainage capacity and local erosion screening.`,</w:t>
        <w:br/>
        <w:t xml:space="preserve">      'Review culverts, minor bridges, embankments and road drainage bottlenecks that may concentrate flows or debris.',</w:t>
        <w:br/>
        <w:t xml:space="preserve">      'Assess accessibility and alternative routes where historical hydraulic precedents indicate possible interruption of the road network.',</w:t>
        <w:br/>
        <w:t xml:space="preserve">      `Compare the planned intervention with documented hydraulic-triggered collapses in ${places}.`,</w:t>
        <w:br/>
        <w:t xml:space="preserve">      'Commission site-specific hydraulic and geotechnical checks before design decisions.'</w:t>
        <w:br/>
        <w:t xml:space="preserve">    ];</w:t>
        <w:br/>
        <w:t xml:space="preserve">  }</w:t>
        <w:br/>
        <w:br/>
        <w:t xml:space="preserve">  return [</w:t>
        <w:br/>
        <w:t xml:space="preserve">    `For ${projectContext} interventions in the province of ${provinceName}, use ARCUS as a preliminary territorial screening layer before commissioning site-specific checks.`,</w:t>
        <w:br/>
        <w:t xml:space="preserve">    'Review historical precedents, hazard overlays and evidence reliability before defining technical investigation priorities.'</w:t>
        <w:br/>
        <w:t xml:space="preserve">  ];</w:t>
        <w:br/>
        <w:t>}</w:t>
      </w:r>
    </w:p>
    <w:p>
      <w:pPr>
        <w:pStyle w:val="Heading1"/>
      </w:pPr>
      <w:r>
        <w:t>7. Checklist di implementazione</w:t>
      </w:r>
    </w:p>
    <w:p>
      <w:pPr>
        <w:pStyle w:val="ListNumber"/>
      </w:pPr>
      <w:r>
        <w:t>Mantenere Path 01 province-only.</w:t>
      </w:r>
    </w:p>
    <w:p>
      <w:pPr>
        <w:pStyle w:val="ListNumber"/>
      </w:pPr>
      <w:r>
        <w:t>Creare /report-map/path01 come vista tecnica della mappa.</w:t>
      </w:r>
    </w:p>
    <w:p>
      <w:pPr>
        <w:pStyle w:val="ListNumber"/>
      </w:pPr>
      <w:r>
        <w:t>Catturare la mappa con Playwright/Puppeteer e passare mapImage al report.</w:t>
      </w:r>
    </w:p>
    <w:p>
      <w:pPr>
        <w:pStyle w:val="ListNumber"/>
      </w:pPr>
      <w:r>
        <w:t>Generare il PDF con displayHeaderFooter: false per eliminare about:blank.</w:t>
      </w:r>
    </w:p>
    <w:p>
      <w:pPr>
        <w:pStyle w:val="ListNumber"/>
      </w:pPr>
      <w:r>
        <w:t>Aggiungere Project-Context Design Focus dopo Interpretation.</w:t>
      </w:r>
    </w:p>
    <w:p>
      <w:pPr>
        <w:pStyle w:val="ListNumber"/>
      </w:pPr>
      <w:r>
        <w:t>Aggiornare Interpretation, Decision Use e Recommendations in base a projectContext + dominantCause.</w:t>
      </w:r>
    </w:p>
    <w:p>
      <w:pPr>
        <w:pStyle w:val="ListNumber"/>
      </w:pPr>
      <w:r>
        <w:t>Correggere l’Executive Summary eliminando la ripetizione “high attention infrastructure attention level”.</w:t>
      </w:r>
    </w:p>
    <w:p>
      <w:pPr>
        <w:pStyle w:val="ListNumber"/>
      </w:pPr>
      <w:r>
        <w:t>Mantenere disclaimer: ARCUS supporta screening preliminare, non certificazione o progettazione definitiva.</w:t>
      </w:r>
    </w:p>
    <w:p>
      <w:pPr>
        <w:pStyle w:val="Heading1"/>
      </w:pPr>
      <w:r>
        <w:t>8. Direzione finale consigliata</w:t>
      </w:r>
    </w:p>
    <w:p>
      <w:r>
        <w:t>Il risultato finale deve essere un PDF che un cliente Professional può usare in una riunione preliminare: non solo dati, ma una lettura operativa del territorio. Nel caso Torino + Road crossing + Hydraulic, ARCUS deve orientare la discussione verso flood interruption, drainage capacity, culverts, embankment erosion, debris blockage e accessibilità durante eventi estremi.</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6548"/>
        <w:sz w:val="16"/>
      </w:rPr>
      <w:t>ARCUS Professional - Atlas Map Extraction and Project-Context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2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171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A65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171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