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C49040"/>
          <w:sz w:val="68"/>
        </w:rPr>
        <w:t>ARCUS</w:t>
      </w:r>
    </w:p>
    <w:p>
      <w:pPr>
        <w:jc w:val="center"/>
      </w:pPr>
      <w:r>
        <w:rPr>
          <w:rFonts w:ascii="Aptos" w:hAnsi="Aptos"/>
          <w:b/>
          <w:color w:val="4F463D"/>
          <w:sz w:val="18"/>
        </w:rPr>
        <w:t>PATH 01 / NEW TERRITORY</w:t>
      </w:r>
    </w:p>
    <w:p>
      <w:pPr>
        <w:jc w:val="center"/>
      </w:pPr>
      <w:r>
        <w:rPr>
          <w:rFonts w:ascii="Aptos" w:hAnsi="Aptos"/>
          <w:b/>
          <w:color w:val="15110F"/>
          <w:sz w:val="48"/>
        </w:rPr>
        <w:t>Final Implementation Roadmap</w:t>
      </w:r>
    </w:p>
    <w:p>
      <w:pPr>
        <w:jc w:val="center"/>
      </w:pPr>
      <w:r>
        <w:rPr>
          <w:rFonts w:ascii="Aptos" w:hAnsi="Aptos"/>
          <w:color w:val="4F463D"/>
          <w:sz w:val="22"/>
        </w:rPr>
        <w:t>Professional PDF Report, One-Page Brief, Atlas Map Extraction and Supporting Exports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  <w:shd w:fill="F9F2E8"/>
          </w:tcPr>
          <w:p>
            <w:pPr>
              <w:spacing w:after="0"/>
            </w:pPr>
            <w:r>
              <w:rPr>
                <w:rFonts w:ascii="Aptos" w:hAnsi="Aptos"/>
                <w:color w:val="4F463D"/>
                <w:sz w:val="18"/>
              </w:rPr>
              <w:t>Objective: transform the Path 01 output into a useful professional deliverable: evidence-based, visually polished, operationally actionable and exportable as a complete package.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b/>
          <w:color w:val="C49040"/>
          <w:sz w:val="18"/>
        </w:rPr>
        <w:t xml:space="preserve">01  </w:t>
      </w:r>
      <w:r>
        <w:rPr>
          <w:rFonts w:ascii="Aptos" w:hAnsi="Aptos"/>
          <w:b/>
          <w:color w:val="15110F"/>
          <w:sz w:val="26"/>
        </w:rPr>
        <w:t>FINAL PRODUCT OBJECTIVE</w:t>
      </w:r>
    </w:p>
    <w:p>
      <w:pPr>
        <w:spacing w:after="120"/>
      </w:pPr>
      <w:r>
        <w:rPr>
          <w:rFonts w:ascii="Aptos" w:hAnsi="Aptos"/>
          <w:b/>
          <w:i w:val="0"/>
          <w:color w:val="1C1713"/>
          <w:sz w:val="20"/>
        </w:rPr>
        <w:t>The Path 01 report must not be treated as a decorative output. It is the core Professional deliverable for a user who selects a province and a project context before a new intervention. The report must transform evidence into usable preliminary decisions.</w:t>
      </w:r>
    </w:p>
    <w:p>
      <w:pPr>
        <w:pStyle w:val="ListBullet"/>
        <w:spacing w:after="40"/>
      </w:pPr>
      <w:r>
        <w:rPr>
          <w:rFonts w:ascii="Aptos" w:hAnsi="Aptos"/>
          <w:color w:val="4F463D"/>
          <w:sz w:val="19"/>
        </w:rPr>
        <w:t>Provide clear evidence: province, historical collapse precedents, dominant drivers, hazard context and source reliability.</w:t>
      </w:r>
    </w:p>
    <w:p>
      <w:pPr>
        <w:pStyle w:val="ListBullet"/>
        <w:spacing w:after="40"/>
      </w:pPr>
      <w:r>
        <w:rPr>
          <w:rFonts w:ascii="Aptos" w:hAnsi="Aptos"/>
          <w:color w:val="4F463D"/>
          <w:sz w:val="19"/>
        </w:rPr>
        <w:t>Translate evidence into professional interpretation: what the selected province suggests for the chosen project context.</w:t>
      </w:r>
    </w:p>
    <w:p>
      <w:pPr>
        <w:pStyle w:val="ListBullet"/>
        <w:spacing w:after="40"/>
      </w:pPr>
      <w:r>
        <w:rPr>
          <w:rFonts w:ascii="Aptos" w:hAnsi="Aptos"/>
          <w:color w:val="4F463D"/>
          <w:sz w:val="19"/>
        </w:rPr>
        <w:t>Generate operational recommendations: not design prescriptions, but clear next checks for the preliminary design and investigation phase.</w:t>
      </w:r>
    </w:p>
    <w:p>
      <w:pPr>
        <w:pStyle w:val="ListBullet"/>
        <w:spacing w:after="40"/>
      </w:pPr>
      <w:r>
        <w:rPr>
          <w:rFonts w:ascii="Aptos" w:hAnsi="Aptos"/>
          <w:color w:val="4F463D"/>
          <w:sz w:val="19"/>
        </w:rPr>
        <w:t>Look like an official ARCUS deliverable: logo, cover, PDF-ready layout, professional typography, stable map and clean export package.</w:t>
      </w:r>
    </w:p>
    <w:p>
      <w:pPr>
        <w:pStyle w:val="ListBullet"/>
        <w:spacing w:after="40"/>
      </w:pPr>
      <w:r>
        <w:rPr>
          <w:rFonts w:ascii="Aptos" w:hAnsi="Aptos"/>
          <w:color w:val="4F463D"/>
          <w:sz w:val="19"/>
        </w:rPr>
        <w:t>Remain legally and technically prudent: no structural safety certification, no replacement for site-specific checks, inspections or design verification.</w:t>
      </w:r>
    </w:p>
    <w:p>
      <w:pPr>
        <w:spacing w:before="240" w:after="120"/>
      </w:pPr>
      <w:r>
        <w:rPr>
          <w:b/>
          <w:color w:val="C49040"/>
          <w:sz w:val="18"/>
        </w:rPr>
        <w:t xml:space="preserve">02  </w:t>
      </w:r>
      <w:r>
        <w:rPr>
          <w:rFonts w:ascii="Aptos" w:hAnsi="Aptos"/>
          <w:b/>
          <w:color w:val="15110F"/>
          <w:sz w:val="26"/>
        </w:rPr>
        <w:t>RECOMMENDED EXPORT PACKAGE</w:t>
      </w:r>
    </w:p>
    <w:p>
      <w:pPr>
        <w:spacing w:after="120"/>
      </w:pPr>
      <w:r>
        <w:rPr>
          <w:rFonts w:ascii="Aptos" w:hAnsi="Aptos"/>
          <w:b w:val="0"/>
          <w:i w:val="0"/>
          <w:color w:val="4F463D"/>
          <w:sz w:val="20"/>
        </w:rPr>
        <w:t>ARCUS Professional should expose the PDF as the primary deliverable and all other files as supporting exports.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  <w:shd w:fill="C49040"/>
          </w:tcPr>
          <w:p>
            <w:pPr>
              <w:spacing w:after="40"/>
            </w:pPr>
            <w:r>
              <w:rPr>
                <w:rFonts w:ascii="Aptos" w:hAnsi="Aptos"/>
                <w:b/>
                <w:color w:val="15110F"/>
                <w:sz w:val="16"/>
              </w:rPr>
              <w:t>Export</w:t>
            </w:r>
          </w:p>
        </w:tc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  <w:shd w:fill="C49040"/>
          </w:tcPr>
          <w:p>
            <w:pPr>
              <w:spacing w:after="40"/>
            </w:pPr>
            <w:r>
              <w:rPr>
                <w:rFonts w:ascii="Aptos" w:hAnsi="Aptos"/>
                <w:b/>
                <w:color w:val="15110F"/>
                <w:sz w:val="16"/>
              </w:rPr>
              <w:t>Purpose</w:t>
            </w:r>
          </w:p>
        </w:tc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  <w:shd w:fill="C49040"/>
          </w:tcPr>
          <w:p>
            <w:pPr>
              <w:spacing w:after="40"/>
            </w:pPr>
            <w:r>
              <w:rPr>
                <w:rFonts w:ascii="Aptos" w:hAnsi="Aptos"/>
                <w:b/>
                <w:color w:val="15110F"/>
                <w:sz w:val="16"/>
              </w:rPr>
              <w:t>Recommended use</w:t>
            </w:r>
          </w:p>
        </w:tc>
      </w:tr>
      <w:tr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Full PDF Report</w:t>
            </w:r>
          </w:p>
        </w:tc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Main professional deliverable</w:t>
            </w:r>
          </w:p>
        </w:tc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Technical meetings, early design discussion, due diligence, internal documentation</w:t>
            </w:r>
          </w:p>
        </w:tc>
      </w:tr>
      <w:tr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One-Page Brief</w:t>
            </w:r>
          </w:p>
        </w:tc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Decision-level summary</w:t>
            </w:r>
          </w:p>
        </w:tc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Management review, quick meeting handout, email preview</w:t>
            </w:r>
          </w:p>
        </w:tc>
      </w:tr>
      <w:tr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Events CSV</w:t>
            </w:r>
          </w:p>
        </w:tc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Structured event table</w:t>
            </w:r>
          </w:p>
        </w:tc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Excel analysis, filtering, internal records, reproducibility</w:t>
            </w:r>
          </w:p>
        </w:tc>
      </w:tr>
      <w:tr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Sources CSV</w:t>
            </w:r>
          </w:p>
        </w:tc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Source traceability</w:t>
            </w:r>
          </w:p>
        </w:tc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Validation, evidence review, audit trail</w:t>
            </w:r>
          </w:p>
        </w:tc>
      </w:tr>
      <w:tr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GeoJSON</w:t>
            </w:r>
          </w:p>
        </w:tc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GIS-ready export</w:t>
            </w:r>
          </w:p>
        </w:tc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QGIS, GIS departments, spatial workflows, map overlays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  <w:shd w:fill="FBF4EC"/>
          </w:tcPr>
          <w:p>
            <w:pPr>
              <w:spacing w:after="0"/>
            </w:pPr>
            <w:r>
              <w:rPr>
                <w:rFonts w:ascii="Aptos" w:hAnsi="Aptos"/>
                <w:color w:val="4F463D"/>
                <w:sz w:val="18"/>
              </w:rPr>
              <w:t>Platform wording: use “Download Full PDF Report”, “Download One-Page Brief”, “Export Events CSV”, “Export Sources CSV”, and “Export GeoJSON”. The PDF is the official output; CSV and GeoJSON are supporting data exports.</w:t>
            </w:r>
          </w:p>
        </w:tc>
      </w:tr>
    </w:tbl>
    <w:p>
      <w:pPr>
        <w:spacing w:before="240" w:after="120"/>
      </w:pPr>
      <w:r>
        <w:rPr>
          <w:b/>
          <w:color w:val="C49040"/>
          <w:sz w:val="18"/>
        </w:rPr>
        <w:t xml:space="preserve">03  </w:t>
      </w:r>
      <w:r>
        <w:rPr>
          <w:rFonts w:ascii="Aptos" w:hAnsi="Aptos"/>
          <w:b/>
          <w:color w:val="15110F"/>
          <w:sz w:val="26"/>
        </w:rPr>
        <w:t>FULL PDF REPORT STRUCTURE</w:t>
      </w:r>
    </w:p>
    <w:p>
      <w:pPr>
        <w:spacing w:after="120"/>
      </w:pPr>
      <w:r>
        <w:rPr>
          <w:rFonts w:ascii="Aptos" w:hAnsi="Aptos"/>
          <w:b w:val="0"/>
          <w:i w:val="0"/>
          <w:color w:val="4F463D"/>
          <w:sz w:val="20"/>
        </w:rPr>
        <w:t>The current structure is strong and should be preserved, but the report must be cleaned and polished. Recommended final order:</w:t>
      </w:r>
    </w:p>
    <w:p>
      <w:pPr>
        <w:pStyle w:val="ListNumber"/>
        <w:spacing w:after="40"/>
      </w:pPr>
      <w:r>
        <w:rPr>
          <w:rFonts w:ascii="Aptos" w:hAnsi="Aptos"/>
          <w:color w:val="4F463D"/>
          <w:sz w:val="19"/>
        </w:rPr>
        <w:t>Cover with ARCUS logo, report metadata, Path 01 and selected province.</w:t>
      </w:r>
    </w:p>
    <w:p>
      <w:pPr>
        <w:pStyle w:val="ListNumber"/>
        <w:spacing w:after="40"/>
      </w:pPr>
      <w:r>
        <w:rPr>
          <w:rFonts w:ascii="Aptos" w:hAnsi="Aptos"/>
          <w:color w:val="4F463D"/>
          <w:sz w:val="19"/>
        </w:rPr>
        <w:t>Executive Summary with three findings and recommended use.</w:t>
      </w:r>
    </w:p>
    <w:p>
      <w:pPr>
        <w:pStyle w:val="ListNumber"/>
        <w:spacing w:after="40"/>
      </w:pPr>
      <w:r>
        <w:rPr>
          <w:rFonts w:ascii="Aptos" w:hAnsi="Aptos"/>
          <w:color w:val="4F463D"/>
          <w:sz w:val="19"/>
        </w:rPr>
        <w:t>Selected Province and Real Atlas Map.</w:t>
      </w:r>
    </w:p>
    <w:p>
      <w:pPr>
        <w:pStyle w:val="ListNumber"/>
        <w:spacing w:after="40"/>
      </w:pPr>
      <w:r>
        <w:rPr>
          <w:rFonts w:ascii="Aptos" w:hAnsi="Aptos"/>
          <w:color w:val="4F463D"/>
          <w:sz w:val="19"/>
        </w:rPr>
        <w:t>How to Read This Report.</w:t>
      </w:r>
    </w:p>
    <w:p>
      <w:pPr>
        <w:pStyle w:val="ListNumber"/>
        <w:spacing w:after="40"/>
      </w:pPr>
      <w:r>
        <w:rPr>
          <w:rFonts w:ascii="Aptos" w:hAnsi="Aptos"/>
          <w:color w:val="4F463D"/>
          <w:sz w:val="19"/>
        </w:rPr>
        <w:t>Key Indicators.</w:t>
      </w:r>
    </w:p>
    <w:p>
      <w:pPr>
        <w:pStyle w:val="ListNumber"/>
        <w:spacing w:after="40"/>
      </w:pPr>
      <w:r>
        <w:rPr>
          <w:rFonts w:ascii="Aptos" w:hAnsi="Aptos"/>
          <w:color w:val="4F463D"/>
          <w:sz w:val="19"/>
        </w:rPr>
        <w:t>Hazard Context.</w:t>
      </w:r>
    </w:p>
    <w:p>
      <w:pPr>
        <w:pStyle w:val="ListNumber"/>
        <w:spacing w:after="40"/>
      </w:pPr>
      <w:r>
        <w:rPr>
          <w:rFonts w:ascii="Aptos" w:hAnsi="Aptos"/>
          <w:color w:val="4F463D"/>
          <w:sz w:val="19"/>
        </w:rPr>
        <w:t>Historical Evidence.</w:t>
      </w:r>
    </w:p>
    <w:p>
      <w:pPr>
        <w:pStyle w:val="ListNumber"/>
        <w:spacing w:after="40"/>
      </w:pPr>
      <w:r>
        <w:rPr>
          <w:rFonts w:ascii="Aptos" w:hAnsi="Aptos"/>
          <w:color w:val="4F463D"/>
          <w:sz w:val="19"/>
        </w:rPr>
        <w:t>Priority Events with Map Ref.</w:t>
      </w:r>
    </w:p>
    <w:p>
      <w:pPr>
        <w:pStyle w:val="ListNumber"/>
        <w:spacing w:after="40"/>
      </w:pPr>
      <w:r>
        <w:rPr>
          <w:rFonts w:ascii="Aptos" w:hAnsi="Aptos"/>
          <w:color w:val="4F463D"/>
          <w:sz w:val="19"/>
        </w:rPr>
        <w:t>Comparable Precedents.</w:t>
      </w:r>
    </w:p>
    <w:p>
      <w:pPr>
        <w:pStyle w:val="ListNumber"/>
        <w:spacing w:after="40"/>
      </w:pPr>
      <w:r>
        <w:rPr>
          <w:rFonts w:ascii="Aptos" w:hAnsi="Aptos"/>
          <w:color w:val="4F463D"/>
          <w:sz w:val="19"/>
        </w:rPr>
        <w:t>Interpretation.</w:t>
      </w:r>
    </w:p>
    <w:p>
      <w:pPr>
        <w:pStyle w:val="ListNumber"/>
        <w:spacing w:after="40"/>
      </w:pPr>
      <w:r>
        <w:rPr>
          <w:rFonts w:ascii="Aptos" w:hAnsi="Aptos"/>
          <w:color w:val="4F463D"/>
          <w:sz w:val="19"/>
        </w:rPr>
        <w:t>Project-Context Design Focus.</w:t>
      </w:r>
    </w:p>
    <w:p>
      <w:pPr>
        <w:pStyle w:val="ListNumber"/>
        <w:spacing w:after="40"/>
      </w:pPr>
      <w:r>
        <w:rPr>
          <w:rFonts w:ascii="Aptos" w:hAnsi="Aptos"/>
          <w:color w:val="4F463D"/>
          <w:sz w:val="19"/>
        </w:rPr>
        <w:t>Decision Use.</w:t>
      </w:r>
    </w:p>
    <w:p>
      <w:pPr>
        <w:pStyle w:val="ListNumber"/>
        <w:spacing w:after="40"/>
      </w:pPr>
      <w:r>
        <w:rPr>
          <w:rFonts w:ascii="Aptos" w:hAnsi="Aptos"/>
          <w:color w:val="4F463D"/>
          <w:sz w:val="19"/>
        </w:rPr>
        <w:t>Project-Specific Recommendations.</w:t>
      </w:r>
    </w:p>
    <w:p>
      <w:pPr>
        <w:pStyle w:val="ListNumber"/>
        <w:spacing w:after="40"/>
      </w:pPr>
      <w:r>
        <w:rPr>
          <w:rFonts w:ascii="Aptos" w:hAnsi="Aptos"/>
          <w:color w:val="4F463D"/>
          <w:sz w:val="19"/>
        </w:rPr>
        <w:t>National Benchmark.</w:t>
      </w:r>
    </w:p>
    <w:p>
      <w:pPr>
        <w:pStyle w:val="ListNumber"/>
        <w:spacing w:after="40"/>
      </w:pPr>
      <w:r>
        <w:rPr>
          <w:rFonts w:ascii="Aptos" w:hAnsi="Aptos"/>
          <w:color w:val="4F463D"/>
          <w:sz w:val="19"/>
        </w:rPr>
        <w:t>Data Coverage and Limitations.</w:t>
      </w:r>
    </w:p>
    <w:p>
      <w:pPr>
        <w:pStyle w:val="ListNumber"/>
        <w:spacing w:after="40"/>
      </w:pPr>
      <w:r>
        <w:rPr>
          <w:rFonts w:ascii="Aptos" w:hAnsi="Aptos"/>
          <w:color w:val="4F463D"/>
          <w:sz w:val="19"/>
        </w:rPr>
        <w:t>Methodology Snapshot.</w:t>
      </w:r>
    </w:p>
    <w:p>
      <w:pPr>
        <w:pStyle w:val="ListNumber"/>
        <w:spacing w:after="40"/>
      </w:pPr>
      <w:r>
        <w:rPr>
          <w:rFonts w:ascii="Aptos" w:hAnsi="Aptos"/>
          <w:color w:val="4F463D"/>
          <w:sz w:val="19"/>
        </w:rPr>
        <w:t>Score and Class Legend.</w:t>
      </w:r>
    </w:p>
    <w:p>
      <w:pPr>
        <w:pStyle w:val="ListNumber"/>
        <w:spacing w:after="40"/>
      </w:pPr>
      <w:r>
        <w:rPr>
          <w:rFonts w:ascii="Aptos" w:hAnsi="Aptos"/>
          <w:color w:val="4F463D"/>
          <w:sz w:val="19"/>
        </w:rPr>
        <w:t>Short Source Appendix.</w:t>
      </w:r>
    </w:p>
    <w:p>
      <w:pPr>
        <w:spacing w:before="240" w:after="120"/>
      </w:pPr>
      <w:r>
        <w:rPr>
          <w:b/>
          <w:color w:val="C49040"/>
          <w:sz w:val="18"/>
        </w:rPr>
        <w:t xml:space="preserve">04  </w:t>
      </w:r>
      <w:r>
        <w:rPr>
          <w:rFonts w:ascii="Aptos" w:hAnsi="Aptos"/>
          <w:b/>
          <w:color w:val="15110F"/>
          <w:sz w:val="26"/>
        </w:rPr>
        <w:t>COVER AND ARCUS LOGO</w:t>
      </w:r>
    </w:p>
    <w:p>
      <w:pPr>
        <w:spacing w:after="120"/>
      </w:pPr>
      <w:r>
        <w:rPr>
          <w:rFonts w:ascii="Aptos" w:hAnsi="Aptos"/>
          <w:b w:val="0"/>
          <w:i w:val="0"/>
          <w:color w:val="4F463D"/>
          <w:sz w:val="20"/>
        </w:rPr>
        <w:t>The cover should communicate immediately that the PDF is an ARCUS Professional output. Add the ARCUS logo to the cover and preferably also as a small mark in the footer.</w:t>
      </w:r>
    </w:p>
    <w:p>
      <w:pPr>
        <w:pStyle w:val="ListBullet"/>
        <w:spacing w:after="40"/>
      </w:pPr>
      <w:r>
        <w:rPr>
          <w:rFonts w:ascii="Aptos" w:hAnsi="Aptos"/>
          <w:color w:val="4F463D"/>
          <w:sz w:val="19"/>
        </w:rPr>
        <w:t>Use the actual ARCUS logo asset, preferably SVG or high-resolution PNG.</w:t>
      </w:r>
    </w:p>
    <w:p>
      <w:pPr>
        <w:pStyle w:val="ListBullet"/>
        <w:spacing w:after="40"/>
      </w:pPr>
      <w:r>
        <w:rPr>
          <w:rFonts w:ascii="Aptos" w:hAnsi="Aptos"/>
          <w:color w:val="4F463D"/>
          <w:sz w:val="19"/>
        </w:rPr>
        <w:t>Place logo at the top-left or centered above the title, depending on the final brand direction.</w:t>
      </w:r>
    </w:p>
    <w:p>
      <w:pPr>
        <w:pStyle w:val="ListBullet"/>
        <w:spacing w:after="40"/>
      </w:pPr>
      <w:r>
        <w:rPr>
          <w:rFonts w:ascii="Aptos" w:hAnsi="Aptos"/>
          <w:color w:val="4F463D"/>
          <w:sz w:val="19"/>
        </w:rPr>
        <w:t>Keep it clean and institutional; the logo should support authority, not dominate the page.</w:t>
      </w:r>
    </w:p>
    <w:p>
      <w:pPr>
        <w:pStyle w:val="ListBullet"/>
        <w:spacing w:after="40"/>
      </w:pPr>
      <w:r>
        <w:rPr>
          <w:rFonts w:ascii="Aptos" w:hAnsi="Aptos"/>
          <w:color w:val="4F463D"/>
          <w:sz w:val="19"/>
        </w:rPr>
        <w:t>Add metadata: Report ID, version, analysis type, spatial level, selected province, project context, generated date, generated by.</w:t>
      </w:r>
    </w:p>
    <w:p>
      <w:pPr>
        <w:pStyle w:val="ListBullet"/>
        <w:spacing w:after="40"/>
      </w:pPr>
      <w:r>
        <w:rPr>
          <w:rFonts w:ascii="Aptos" w:hAnsi="Aptos"/>
          <w:color w:val="4F463D"/>
          <w:sz w:val="19"/>
        </w:rPr>
        <w:t>Use a consistent title: “Territory Briefing: Torino” and subtitle: “Path 01 / New Territory / Province-Level Preliminary Screening”.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  <w:shd w:fill="FBF4EC"/>
          </w:tcPr>
          <w:p>
            <w:pPr>
              <w:spacing w:after="0"/>
            </w:pPr>
            <w:r>
              <w:rPr>
                <w:rFonts w:ascii="Aptos" w:hAnsi="Aptos"/>
                <w:color w:val="4F463D"/>
                <w:sz w:val="18"/>
              </w:rPr>
              <w:t>Implementation note: do not share or embed font files. Use available web/system fonts or rasterized logo assets only.</w:t>
            </w:r>
          </w:p>
        </w:tc>
      </w:tr>
    </w:tbl>
    <w:p>
      <w:pPr>
        <w:spacing w:before="240" w:after="120"/>
      </w:pPr>
      <w:r>
        <w:rPr>
          <w:b/>
          <w:color w:val="C49040"/>
          <w:sz w:val="18"/>
        </w:rPr>
        <w:t xml:space="preserve">05  </w:t>
      </w:r>
      <w:r>
        <w:rPr>
          <w:rFonts w:ascii="Aptos" w:hAnsi="Aptos"/>
          <w:b/>
          <w:color w:val="15110F"/>
          <w:sz w:val="26"/>
        </w:rPr>
        <w:t>PDF GENERATION MUST BE CONTROLLED</w:t>
      </w:r>
    </w:p>
    <w:p>
      <w:pPr>
        <w:spacing w:after="120"/>
      </w:pPr>
      <w:r>
        <w:rPr>
          <w:rFonts w:ascii="Aptos" w:hAnsi="Aptos"/>
          <w:b/>
          <w:i w:val="0"/>
          <w:color w:val="1C1713"/>
          <w:sz w:val="20"/>
        </w:rPr>
        <w:t>The current PDF still shows browser header/footer artifacts such as date, page title and about:blank. This must be removed before considering the output final.</w:t>
      </w:r>
    </w:p>
    <w:p>
      <w:pPr>
        <w:pStyle w:val="ListBullet"/>
        <w:spacing w:after="40"/>
      </w:pPr>
      <w:r>
        <w:rPr>
          <w:rFonts w:ascii="Aptos" w:hAnsi="Aptos"/>
          <w:color w:val="4F463D"/>
          <w:sz w:val="19"/>
        </w:rPr>
        <w:t>Avoid relying on manual browser print as the official generation flow.</w:t>
      </w:r>
    </w:p>
    <w:p>
      <w:pPr>
        <w:pStyle w:val="ListBullet"/>
        <w:spacing w:after="40"/>
      </w:pPr>
      <w:r>
        <w:rPr>
          <w:rFonts w:ascii="Aptos" w:hAnsi="Aptos"/>
          <w:color w:val="4F463D"/>
          <w:sz w:val="19"/>
        </w:rPr>
        <w:t>Generate the PDF with Playwright or Puppeteer.</w:t>
      </w:r>
    </w:p>
    <w:p>
      <w:pPr>
        <w:pStyle w:val="ListBullet"/>
        <w:spacing w:after="40"/>
      </w:pPr>
      <w:r>
        <w:rPr>
          <w:rFonts w:ascii="Aptos" w:hAnsi="Aptos"/>
          <w:color w:val="4F463D"/>
          <w:sz w:val="19"/>
        </w:rPr>
        <w:t>Set displayHeaderFooter: false.</w:t>
      </w:r>
    </w:p>
    <w:p>
      <w:pPr>
        <w:pStyle w:val="ListBullet"/>
        <w:spacing w:after="40"/>
      </w:pPr>
      <w:r>
        <w:rPr>
          <w:rFonts w:ascii="Aptos" w:hAnsi="Aptos"/>
          <w:color w:val="4F463D"/>
          <w:sz w:val="19"/>
        </w:rPr>
        <w:t>Use printBackground: true.</w:t>
      </w:r>
    </w:p>
    <w:p>
      <w:pPr>
        <w:pStyle w:val="ListBullet"/>
        <w:spacing w:after="40"/>
      </w:pPr>
      <w:r>
        <w:rPr>
          <w:rFonts w:ascii="Aptos" w:hAnsi="Aptos"/>
          <w:color w:val="4F463D"/>
          <w:sz w:val="19"/>
        </w:rPr>
        <w:t>Define A4 size and consistent margins.</w:t>
      </w:r>
    </w:p>
    <w:p>
      <w:pPr>
        <w:pStyle w:val="ListBullet"/>
        <w:spacing w:after="40"/>
      </w:pPr>
      <w:r>
        <w:rPr>
          <w:rFonts w:ascii="Aptos" w:hAnsi="Aptos"/>
          <w:color w:val="4F463D"/>
          <w:sz w:val="19"/>
        </w:rPr>
        <w:t>Render both Full Report and One-Page Brief through the same controlled PDF engine.</w:t>
      </w:r>
    </w:p>
    <w:p>
      <w:pPr>
        <w:spacing w:before="160" w:after="80"/>
      </w:pPr>
      <w:r>
        <w:rPr>
          <w:rFonts w:ascii="Aptos" w:hAnsi="Aptos"/>
          <w:b/>
          <w:color w:val="15110F"/>
          <w:sz w:val="22"/>
        </w:rPr>
        <w:t>Suggested Playwright/Puppeteer configuration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  <w:shd w:fill="F4EBDD"/>
          </w:tcPr>
          <w:p>
            <w:pPr>
              <w:spacing w:after="0"/>
            </w:pPr>
            <w:r>
              <w:rPr>
                <w:rFonts w:ascii="Aptos" w:hAnsi="Aptos"/>
                <w:color w:val="4F463D"/>
                <w:sz w:val="18"/>
              </w:rPr>
              <w:t>await page.pdf({</w:t>
              <w:br/>
              <w:t xml:space="preserve">  path: "arcus-report.pdf",</w:t>
              <w:br/>
              <w:t xml:space="preserve">  format: "A4",</w:t>
              <w:br/>
              <w:t xml:space="preserve">  printBackground: true,</w:t>
              <w:br/>
              <w:t xml:space="preserve">  displayHeaderFooter: false,</w:t>
              <w:br/>
              <w:t xml:space="preserve">  margin: {</w:t>
              <w:br/>
              <w:t xml:space="preserve">    top: "14mm",</w:t>
              <w:br/>
              <w:t xml:space="preserve">    right: "14mm",</w:t>
              <w:br/>
              <w:t xml:space="preserve">    bottom: "14mm",</w:t>
              <w:br/>
              <w:t xml:space="preserve">    left: "14mm"</w:t>
              <w:br/>
              <w:t xml:space="preserve">  }</w:t>
              <w:br/>
              <w:t>});</w:t>
            </w:r>
          </w:p>
        </w:tc>
      </w:tr>
    </w:tbl>
    <w:p>
      <w:pPr>
        <w:spacing w:before="240" w:after="120"/>
      </w:pPr>
      <w:r>
        <w:rPr>
          <w:b/>
          <w:color w:val="C49040"/>
          <w:sz w:val="18"/>
        </w:rPr>
        <w:t xml:space="preserve">06  </w:t>
      </w:r>
      <w:r>
        <w:rPr>
          <w:rFonts w:ascii="Aptos" w:hAnsi="Aptos"/>
          <w:b/>
          <w:color w:val="15110F"/>
          <w:sz w:val="26"/>
        </w:rPr>
        <w:t>REAL ATLAS MAP EXTRACTION</w:t>
      </w:r>
    </w:p>
    <w:p>
      <w:pPr>
        <w:spacing w:after="120"/>
      </w:pPr>
      <w:r>
        <w:rPr>
          <w:rFonts w:ascii="Aptos" w:hAnsi="Aptos"/>
          <w:b/>
          <w:i w:val="0"/>
          <w:color w:val="1C1713"/>
          <w:sz w:val="20"/>
        </w:rPr>
        <w:t>The map should not be reconstructed manually inside the report. The report should receive a captured image of the actual Atlas state.</w:t>
      </w:r>
    </w:p>
    <w:p>
      <w:pPr>
        <w:pStyle w:val="ListBullet"/>
        <w:spacing w:after="40"/>
      </w:pPr>
      <w:r>
        <w:rPr>
          <w:rFonts w:ascii="Aptos" w:hAnsi="Aptos"/>
          <w:color w:val="4F463D"/>
          <w:sz w:val="19"/>
        </w:rPr>
        <w:t>Create a dedicated hidden route such as /report-map/path01?province=Torino&amp;context=Bridge.</w:t>
      </w:r>
    </w:p>
    <w:p>
      <w:pPr>
        <w:pStyle w:val="ListBullet"/>
        <w:spacing w:after="40"/>
      </w:pPr>
      <w:r>
        <w:rPr>
          <w:rFonts w:ascii="Aptos" w:hAnsi="Aptos"/>
          <w:color w:val="4F463D"/>
          <w:sz w:val="19"/>
        </w:rPr>
        <w:t>Render the real Leaflet/Atlas map with selected province boundary, markers, active context layers and legend.</w:t>
      </w:r>
    </w:p>
    <w:p>
      <w:pPr>
        <w:pStyle w:val="ListBullet"/>
        <w:spacing w:after="40"/>
      </w:pPr>
      <w:r>
        <w:rPr>
          <w:rFonts w:ascii="Aptos" w:hAnsi="Aptos"/>
          <w:color w:val="4F463D"/>
          <w:sz w:val="19"/>
        </w:rPr>
        <w:t>Capture the map container as PNG using Playwright screenshot or a controlled frontend capture.</w:t>
      </w:r>
    </w:p>
    <w:p>
      <w:pPr>
        <w:pStyle w:val="ListBullet"/>
        <w:spacing w:after="40"/>
      </w:pPr>
      <w:r>
        <w:rPr>
          <w:rFonts w:ascii="Aptos" w:hAnsi="Aptos"/>
          <w:color w:val="4F463D"/>
          <w:sz w:val="19"/>
        </w:rPr>
        <w:t>Pass the generated map image into the report as mapImage.</w:t>
      </w:r>
    </w:p>
    <w:p>
      <w:pPr>
        <w:pStyle w:val="ListBullet"/>
        <w:spacing w:after="40"/>
      </w:pPr>
      <w:r>
        <w:rPr>
          <w:rFonts w:ascii="Aptos" w:hAnsi="Aptos"/>
          <w:color w:val="4F463D"/>
          <w:sz w:val="19"/>
        </w:rPr>
        <w:t>Remove overlapping marker labels; use clean markers and a small number of priority references instead.</w:t>
      </w:r>
    </w:p>
    <w:p>
      <w:pPr>
        <w:pStyle w:val="ListBullet"/>
        <w:spacing w:after="40"/>
      </w:pPr>
      <w:r>
        <w:rPr>
          <w:rFonts w:ascii="Aptos" w:hAnsi="Aptos"/>
          <w:color w:val="4F463D"/>
          <w:sz w:val="19"/>
        </w:rPr>
        <w:t>Use P1, P2, P3 markers for priority events and add the same Map Ref column in the Priority Events table.</w:t>
      </w:r>
    </w:p>
    <w:p>
      <w:pPr>
        <w:pStyle w:val="ListBullet"/>
        <w:spacing w:after="40"/>
      </w:pPr>
      <w:r>
        <w:rPr>
          <w:rFonts w:ascii="Aptos" w:hAnsi="Aptos"/>
          <w:color w:val="4F463D"/>
          <w:sz w:val="19"/>
        </w:rPr>
        <w:t>Keep the map readable: basemap, province boundary, ARCUS events, legend, north arrow, scale, and screening note.</w:t>
      </w:r>
    </w:p>
    <w:p>
      <w:pPr>
        <w:spacing w:before="160" w:after="80"/>
      </w:pPr>
      <w:r>
        <w:rPr>
          <w:rFonts w:ascii="Aptos" w:hAnsi="Aptos"/>
          <w:b/>
          <w:color w:val="15110F"/>
          <w:sz w:val="22"/>
        </w:rPr>
        <w:t>Preferred technical flow</w:t>
      </w:r>
    </w:p>
    <w:p>
      <w:pPr>
        <w:pStyle w:val="ListNumber"/>
        <w:spacing w:after="40"/>
      </w:pPr>
      <w:r>
        <w:rPr>
          <w:rFonts w:ascii="Aptos" w:hAnsi="Aptos"/>
          <w:color w:val="4F463D"/>
          <w:sz w:val="19"/>
        </w:rPr>
        <w:t>User selects province and project context.</w:t>
      </w:r>
    </w:p>
    <w:p>
      <w:pPr>
        <w:pStyle w:val="ListNumber"/>
        <w:spacing w:after="40"/>
      </w:pPr>
      <w:r>
        <w:rPr>
          <w:rFonts w:ascii="Aptos" w:hAnsi="Aptos"/>
          <w:color w:val="4F463D"/>
          <w:sz w:val="19"/>
        </w:rPr>
        <w:t>Atlas applies filters and zooms to province bounds.</w:t>
      </w:r>
    </w:p>
    <w:p>
      <w:pPr>
        <w:pStyle w:val="ListNumber"/>
        <w:spacing w:after="40"/>
      </w:pPr>
      <w:r>
        <w:rPr>
          <w:rFonts w:ascii="Aptos" w:hAnsi="Aptos"/>
          <w:color w:val="4F463D"/>
          <w:sz w:val="19"/>
        </w:rPr>
        <w:t>Atlas renders export-ready map state.</w:t>
      </w:r>
    </w:p>
    <w:p>
      <w:pPr>
        <w:pStyle w:val="ListNumber"/>
        <w:spacing w:after="40"/>
      </w:pPr>
      <w:r>
        <w:rPr>
          <w:rFonts w:ascii="Aptos" w:hAnsi="Aptos"/>
          <w:color w:val="4F463D"/>
          <w:sz w:val="19"/>
        </w:rPr>
        <w:t>Playwright captures the map container as PNG.</w:t>
      </w:r>
    </w:p>
    <w:p>
      <w:pPr>
        <w:pStyle w:val="ListNumber"/>
        <w:spacing w:after="40"/>
      </w:pPr>
      <w:r>
        <w:rPr>
          <w:rFonts w:ascii="Aptos" w:hAnsi="Aptos"/>
          <w:color w:val="4F463D"/>
          <w:sz w:val="19"/>
        </w:rPr>
        <w:t>Report generator embeds the PNG.</w:t>
      </w:r>
    </w:p>
    <w:p>
      <w:pPr>
        <w:pStyle w:val="ListNumber"/>
        <w:spacing w:after="40"/>
      </w:pPr>
      <w:r>
        <w:rPr>
          <w:rFonts w:ascii="Aptos" w:hAnsi="Aptos"/>
          <w:color w:val="4F463D"/>
          <w:sz w:val="19"/>
        </w:rPr>
        <w:t>PDF generator exports final report without browser artifacts.</w:t>
      </w:r>
    </w:p>
    <w:p>
      <w:pPr>
        <w:spacing w:before="160" w:after="80"/>
      </w:pPr>
      <w:r>
        <w:rPr>
          <w:rFonts w:ascii="Aptos" w:hAnsi="Aptos"/>
          <w:b/>
          <w:color w:val="15110F"/>
          <w:sz w:val="22"/>
        </w:rPr>
        <w:t>Suggested data contract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  <w:shd w:fill="F4EBDD"/>
          </w:tcPr>
          <w:p>
            <w:pPr>
              <w:spacing w:after="0"/>
            </w:pPr>
            <w:r>
              <w:rPr>
                <w:rFonts w:ascii="Aptos" w:hAnsi="Aptos"/>
                <w:color w:val="4F463D"/>
                <w:sz w:val="18"/>
              </w:rPr>
              <w:t>const reportData = {</w:t>
              <w:br/>
              <w:t xml:space="preserve">  province: "Torino",</w:t>
              <w:br/>
              <w:t xml:space="preserve">  region: "Piemonte",</w:t>
              <w:br/>
              <w:t xml:space="preserve">  projectContext: "Bridge",</w:t>
              <w:br/>
              <w:t xml:space="preserve">  spatialLevel: "Province level",</w:t>
              <w:br/>
              <w:t xml:space="preserve">  mapImage: "data:image/png;base64,...",</w:t>
              <w:br/>
              <w:t xml:space="preserve">  priorityEvents: [...],</w:t>
              <w:br/>
              <w:t xml:space="preserve">  sources: [...]</w:t>
              <w:br/>
              <w:t>};</w:t>
            </w:r>
          </w:p>
        </w:tc>
      </w:tr>
    </w:tbl>
    <w:p>
      <w:pPr>
        <w:spacing w:before="240" w:after="120"/>
      </w:pPr>
      <w:r>
        <w:rPr>
          <w:b/>
          <w:color w:val="C49040"/>
          <w:sz w:val="18"/>
        </w:rPr>
        <w:t xml:space="preserve">07  </w:t>
      </w:r>
      <w:r>
        <w:rPr>
          <w:rFonts w:ascii="Aptos" w:hAnsi="Aptos"/>
          <w:b/>
          <w:color w:val="15110F"/>
          <w:sz w:val="26"/>
        </w:rPr>
        <w:t>ONE-PAGE BRIEF MUST BE ONE REAL PAGE</w:t>
      </w:r>
    </w:p>
    <w:p>
      <w:pPr>
        <w:spacing w:after="120"/>
      </w:pPr>
      <w:r>
        <w:rPr>
          <w:rFonts w:ascii="Aptos" w:hAnsi="Aptos"/>
          <w:b w:val="0"/>
          <w:i w:val="0"/>
          <w:color w:val="4F463D"/>
          <w:sz w:val="20"/>
        </w:rPr>
        <w:t>The one-page brief is strategically useful, but it must fit on a single A4 page. It should be designed for quick review by a technical director, manager, client or meeting participant.</w:t>
      </w:r>
    </w:p>
    <w:p>
      <w:pPr>
        <w:pStyle w:val="ListBullet"/>
        <w:spacing w:after="40"/>
      </w:pPr>
      <w:r>
        <w:rPr>
          <w:rFonts w:ascii="Aptos" w:hAnsi="Aptos"/>
          <w:color w:val="4F463D"/>
          <w:sz w:val="19"/>
        </w:rPr>
        <w:t>Keep it to one page, not 2–3 pages.</w:t>
      </w:r>
    </w:p>
    <w:p>
      <w:pPr>
        <w:pStyle w:val="ListBullet"/>
        <w:spacing w:after="40"/>
      </w:pPr>
      <w:r>
        <w:rPr>
          <w:rFonts w:ascii="Aptos" w:hAnsi="Aptos"/>
          <w:color w:val="4F463D"/>
          <w:sz w:val="19"/>
        </w:rPr>
        <w:t>Include logo, province, project context, 4 KPIs, 3 key findings, compact map and 5 action points.</w:t>
      </w:r>
    </w:p>
    <w:p>
      <w:pPr>
        <w:pStyle w:val="ListBullet"/>
        <w:spacing w:after="40"/>
      </w:pPr>
      <w:r>
        <w:rPr>
          <w:rFonts w:ascii="Aptos" w:hAnsi="Aptos"/>
          <w:color w:val="4F463D"/>
          <w:sz w:val="19"/>
        </w:rPr>
        <w:t>Use smaller tables or no tables; rely on cards and short bullets.</w:t>
      </w:r>
    </w:p>
    <w:p>
      <w:pPr>
        <w:pStyle w:val="ListBullet"/>
        <w:spacing w:after="40"/>
      </w:pPr>
      <w:r>
        <w:rPr>
          <w:rFonts w:ascii="Aptos" w:hAnsi="Aptos"/>
          <w:color w:val="4F463D"/>
          <w:sz w:val="19"/>
        </w:rPr>
        <w:t>Use the same controlled PDF engine to avoid about:blank.</w:t>
      </w:r>
    </w:p>
    <w:p>
      <w:pPr>
        <w:pStyle w:val="ListBullet"/>
        <w:spacing w:after="40"/>
      </w:pPr>
      <w:r>
        <w:rPr>
          <w:rFonts w:ascii="Aptos" w:hAnsi="Aptos"/>
          <w:color w:val="4F463D"/>
          <w:sz w:val="19"/>
        </w:rPr>
        <w:t>Do not include methodology or source appendix in the one-page brief; link to the full report and source CSV instead.</w:t>
      </w:r>
    </w:p>
    <w:p>
      <w:pPr>
        <w:spacing w:before="160" w:after="80"/>
      </w:pPr>
      <w:r>
        <w:rPr>
          <w:rFonts w:ascii="Aptos" w:hAnsi="Aptos"/>
          <w:b/>
          <w:color w:val="15110F"/>
          <w:sz w:val="22"/>
        </w:rPr>
        <w:t>Recommended one-page layout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  <w:shd w:fill="C49040"/>
          </w:tcPr>
          <w:p>
            <w:pPr>
              <w:spacing w:after="40"/>
            </w:pPr>
            <w:r>
              <w:rPr>
                <w:rFonts w:ascii="Aptos" w:hAnsi="Aptos"/>
                <w:b/>
                <w:color w:val="15110F"/>
                <w:sz w:val="16"/>
              </w:rPr>
              <w:t>Left column</w:t>
            </w:r>
          </w:p>
        </w:tc>
        <w:tc>
          <w:tcPr>
            <w:tcW w:type="dxa" w:w="5141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  <w:shd w:fill="C49040"/>
          </w:tcPr>
          <w:p>
            <w:pPr>
              <w:spacing w:after="40"/>
            </w:pPr>
            <w:r>
              <w:rPr>
                <w:rFonts w:ascii="Aptos" w:hAnsi="Aptos"/>
                <w:b/>
                <w:color w:val="15110F"/>
                <w:sz w:val="16"/>
              </w:rPr>
              <w:t>Right column</w:t>
            </w:r>
          </w:p>
        </w:tc>
      </w:tr>
      <w:tr>
        <w:tc>
          <w:tcPr>
            <w:tcW w:type="dxa" w:w="5141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Logo + title + report metadata</w:t>
            </w:r>
          </w:p>
        </w:tc>
        <w:tc>
          <w:tcPr>
            <w:tcW w:type="dxa" w:w="5141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Real Atlas map</w:t>
            </w:r>
          </w:p>
        </w:tc>
      </w:tr>
      <w:tr>
        <w:tc>
          <w:tcPr>
            <w:tcW w:type="dxa" w:w="5141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4 KPI cards</w:t>
            </w:r>
          </w:p>
        </w:tc>
        <w:tc>
          <w:tcPr>
            <w:tcW w:type="dxa" w:w="5141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Operational interpretation</w:t>
            </w:r>
          </w:p>
        </w:tc>
      </w:tr>
      <w:tr>
        <w:tc>
          <w:tcPr>
            <w:tcW w:type="dxa" w:w="5141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3 key findings</w:t>
            </w:r>
          </w:p>
        </w:tc>
        <w:tc>
          <w:tcPr>
            <w:tcW w:type="dxa" w:w="5141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5 follow-up actions</w:t>
            </w:r>
          </w:p>
        </w:tc>
      </w:tr>
      <w:tr>
        <w:tc>
          <w:tcPr>
            <w:tcW w:type="dxa" w:w="5141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Short disclaimer</w:t>
            </w:r>
          </w:p>
        </w:tc>
        <w:tc>
          <w:tcPr>
            <w:tcW w:type="dxa" w:w="5141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Export package reference</w:t>
            </w:r>
          </w:p>
        </w:tc>
      </w:tr>
    </w:tbl>
    <w:p>
      <w:pPr>
        <w:spacing w:before="240" w:after="120"/>
      </w:pPr>
      <w:r>
        <w:rPr>
          <w:b/>
          <w:color w:val="C49040"/>
          <w:sz w:val="18"/>
        </w:rPr>
        <w:t xml:space="preserve">08  </w:t>
      </w:r>
      <w:r>
        <w:rPr>
          <w:rFonts w:ascii="Aptos" w:hAnsi="Aptos"/>
          <w:b/>
          <w:color w:val="15110F"/>
          <w:sz w:val="26"/>
        </w:rPr>
        <w:t>PROJECT-CONTEXT RECOMMENDATIONS</w:t>
      </w:r>
    </w:p>
    <w:p>
      <w:pPr>
        <w:spacing w:after="120"/>
      </w:pPr>
      <w:r>
        <w:rPr>
          <w:rFonts w:ascii="Aptos" w:hAnsi="Aptos"/>
          <w:b/>
          <w:i w:val="0"/>
          <w:color w:val="1C1713"/>
          <w:sz w:val="20"/>
        </w:rPr>
        <w:t>This is the core value upgrade. The report must connect the project context selected by the user with the dominant driver detected by ARCUS.</w:t>
      </w:r>
    </w:p>
    <w:p>
      <w:pPr>
        <w:spacing w:after="120"/>
      </w:pPr>
      <w:r>
        <w:rPr>
          <w:rFonts w:ascii="Aptos" w:hAnsi="Aptos"/>
          <w:b w:val="0"/>
          <w:i w:val="0"/>
          <w:color w:val="4F463D"/>
          <w:sz w:val="20"/>
        </w:rPr>
        <w:t>Core logic: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  <w:shd w:fill="FBF4EC"/>
          </w:tcPr>
          <w:p>
            <w:pPr>
              <w:spacing w:after="0"/>
            </w:pPr>
            <w:r>
              <w:rPr>
                <w:rFonts w:ascii="Aptos" w:hAnsi="Aptos"/>
                <w:color w:val="4F463D"/>
                <w:sz w:val="18"/>
              </w:rPr>
              <w:t>Province + Project Context + Dominant Historical Driver + Hazard Layers + Comparable Precedents = Project-Specific Preliminary Design Focus</w:t>
            </w:r>
          </w:p>
        </w:tc>
      </w:tr>
    </w:tbl>
    <w:p>
      <w:pPr>
        <w:spacing w:before="160" w:after="80"/>
      </w:pPr>
      <w:r>
        <w:rPr>
          <w:rFonts w:ascii="Aptos" w:hAnsi="Aptos"/>
          <w:b/>
          <w:color w:val="15110F"/>
          <w:sz w:val="22"/>
        </w:rPr>
        <w:t>Current case: Bridge + Hydraulic</w:t>
      </w:r>
    </w:p>
    <w:p>
      <w:pPr>
        <w:pStyle w:val="ListBullet"/>
        <w:spacing w:after="40"/>
      </w:pPr>
      <w:r>
        <w:rPr>
          <w:rFonts w:ascii="Aptos" w:hAnsi="Aptos"/>
          <w:color w:val="4F463D"/>
          <w:sz w:val="19"/>
        </w:rPr>
        <w:t>Focus on preliminary hydraulic compatibility.</w:t>
      </w:r>
    </w:p>
    <w:p>
      <w:pPr>
        <w:pStyle w:val="ListBullet"/>
        <w:spacing w:after="40"/>
      </w:pPr>
      <w:r>
        <w:rPr>
          <w:rFonts w:ascii="Aptos" w:hAnsi="Aptos"/>
          <w:color w:val="4F463D"/>
          <w:sz w:val="19"/>
        </w:rPr>
        <w:t>Treat scour susceptibility as a primary design-screening topic.</w:t>
      </w:r>
    </w:p>
    <w:p>
      <w:pPr>
        <w:pStyle w:val="ListBullet"/>
        <w:spacing w:after="40"/>
      </w:pPr>
      <w:r>
        <w:rPr>
          <w:rFonts w:ascii="Aptos" w:hAnsi="Aptos"/>
          <w:color w:val="4F463D"/>
          <w:sz w:val="19"/>
        </w:rPr>
        <w:t>Review foundation, pier and abutment exposure where structures interact with active watercourses.</w:t>
      </w:r>
    </w:p>
    <w:p>
      <w:pPr>
        <w:pStyle w:val="ListBullet"/>
        <w:spacing w:after="40"/>
      </w:pPr>
      <w:r>
        <w:rPr>
          <w:rFonts w:ascii="Aptos" w:hAnsi="Aptos"/>
          <w:color w:val="4F463D"/>
          <w:sz w:val="19"/>
        </w:rPr>
        <w:t>Consider riverbed dynamics, sediment transport, debris transport and flood/debris scenarios.</w:t>
      </w:r>
    </w:p>
    <w:p>
      <w:pPr>
        <w:pStyle w:val="ListBullet"/>
        <w:spacing w:after="40"/>
      </w:pPr>
      <w:r>
        <w:rPr>
          <w:rFonts w:ascii="Aptos" w:hAnsi="Aptos"/>
          <w:color w:val="4F463D"/>
          <w:sz w:val="19"/>
        </w:rPr>
        <w:t>Use ARCUS precedents to define the first investigation priorities before site-specific modelling.</w:t>
      </w:r>
    </w:p>
    <w:p>
      <w:pPr>
        <w:spacing w:before="160" w:after="80"/>
      </w:pPr>
      <w:r>
        <w:rPr>
          <w:rFonts w:ascii="Aptos" w:hAnsi="Aptos"/>
          <w:b/>
          <w:color w:val="15110F"/>
          <w:sz w:val="22"/>
        </w:rPr>
        <w:t>Context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  <w:shd w:fill="C49040"/>
          </w:tcPr>
          <w:p>
            <w:pPr>
              <w:spacing w:after="40"/>
            </w:pPr>
            <w:r>
              <w:rPr>
                <w:rFonts w:ascii="Aptos" w:hAnsi="Aptos"/>
                <w:b/>
                <w:color w:val="15110F"/>
                <w:sz w:val="16"/>
              </w:rPr>
              <w:t>Project context</w:t>
            </w:r>
          </w:p>
        </w:tc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  <w:shd w:fill="C49040"/>
          </w:tcPr>
          <w:p>
            <w:pPr>
              <w:spacing w:after="40"/>
            </w:pPr>
            <w:r>
              <w:rPr>
                <w:rFonts w:ascii="Aptos" w:hAnsi="Aptos"/>
                <w:b/>
                <w:color w:val="15110F"/>
                <w:sz w:val="16"/>
              </w:rPr>
              <w:t>If dominant driver is Hydraulic</w:t>
            </w:r>
          </w:p>
        </w:tc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  <w:shd w:fill="C49040"/>
          </w:tcPr>
          <w:p>
            <w:pPr>
              <w:spacing w:after="40"/>
            </w:pPr>
            <w:r>
              <w:rPr>
                <w:rFonts w:ascii="Aptos" w:hAnsi="Aptos"/>
                <w:b/>
                <w:color w:val="15110F"/>
                <w:sz w:val="16"/>
              </w:rPr>
              <w:t>Recommended focus</w:t>
            </w:r>
          </w:p>
        </w:tc>
      </w:tr>
      <w:tr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Bridge</w:t>
            </w:r>
          </w:p>
        </w:tc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Hydraulic precedents dominate</w:t>
            </w:r>
          </w:p>
        </w:tc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Hydraulic compatibility, scour, foundation/pier/abutment exposure, riverbed dynamics, debris transport, inspection accessibility.</w:t>
            </w:r>
          </w:p>
        </w:tc>
      </w:tr>
      <w:tr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Road crossing</w:t>
            </w:r>
          </w:p>
        </w:tc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Hydraulic precedents dominate</w:t>
            </w:r>
          </w:p>
        </w:tc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Road continuity, drainage bottlenecks, culverts, minor crossings, embankment erosion, debris blockage, alternative routes.</w:t>
            </w:r>
          </w:p>
        </w:tc>
      </w:tr>
      <w:tr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Railway crossing</w:t>
            </w:r>
          </w:p>
        </w:tc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Hydraulic precedents dominate</w:t>
            </w:r>
          </w:p>
        </w:tc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Track continuity, embankment stability, hydraulic openings, scour near supports, operational interruption consequences.</w:t>
            </w:r>
          </w:p>
        </w:tc>
      </w:tr>
      <w:tr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Urban infrastructure</w:t>
            </w:r>
          </w:p>
        </w:tc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Hydraulic precedents dominate</w:t>
            </w:r>
          </w:p>
        </w:tc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Urban drainage, underpasses, minor crossings, flood routing, dense built-up interactions, civil protection coordination.</w:t>
            </w:r>
          </w:p>
        </w:tc>
      </w:tr>
    </w:tbl>
    <w:p>
      <w:pPr>
        <w:spacing w:before="240" w:after="120"/>
      </w:pPr>
      <w:r>
        <w:rPr>
          <w:b/>
          <w:color w:val="C49040"/>
          <w:sz w:val="18"/>
        </w:rPr>
        <w:t xml:space="preserve">09  </w:t>
      </w:r>
      <w:r>
        <w:rPr>
          <w:rFonts w:ascii="Aptos" w:hAnsi="Aptos"/>
          <w:b/>
          <w:color w:val="15110F"/>
          <w:sz w:val="26"/>
        </w:rPr>
        <w:t>FINAL RECOMMENDATION LOGIC</w:t>
      </w:r>
    </w:p>
    <w:p>
      <w:pPr>
        <w:spacing w:after="120"/>
      </w:pPr>
      <w:r>
        <w:rPr>
          <w:rFonts w:ascii="Aptos" w:hAnsi="Aptos"/>
          <w:b w:val="0"/>
          <w:i w:val="0"/>
          <w:color w:val="4F463D"/>
          <w:sz w:val="20"/>
        </w:rPr>
        <w:t>The report should include Project-Specific Recommendations that are generated dynamically, not fixed text.</w:t>
      </w:r>
    </w:p>
    <w:p>
      <w:pPr>
        <w:spacing w:before="160" w:after="80"/>
      </w:pPr>
      <w:r>
        <w:rPr>
          <w:rFonts w:ascii="Aptos" w:hAnsi="Aptos"/>
          <w:b/>
          <w:color w:val="15110F"/>
          <w:sz w:val="22"/>
        </w:rPr>
        <w:t>Example: Bridge + Hydraulic</w:t>
      </w:r>
    </w:p>
    <w:p>
      <w:pPr>
        <w:pStyle w:val="ListNumber"/>
        <w:spacing w:after="40"/>
      </w:pPr>
      <w:r>
        <w:rPr>
          <w:rFonts w:ascii="Aptos" w:hAnsi="Aptos"/>
          <w:color w:val="4F463D"/>
          <w:sz w:val="19"/>
        </w:rPr>
        <w:t>For new bridge interventions in the selected province, prioritise preliminary hydraulic compatibility checks, including flood levels, flow concentration, debris transport and riverbed evolution.</w:t>
      </w:r>
    </w:p>
    <w:p>
      <w:pPr>
        <w:pStyle w:val="ListNumber"/>
        <w:spacing w:after="40"/>
      </w:pPr>
      <w:r>
        <w:rPr>
          <w:rFonts w:ascii="Aptos" w:hAnsi="Aptos"/>
          <w:color w:val="4F463D"/>
          <w:sz w:val="19"/>
        </w:rPr>
        <w:t>Treat scour susceptibility as a primary design-screening topic where foundations, abutments or piers interact with active watercourses.</w:t>
      </w:r>
    </w:p>
    <w:p>
      <w:pPr>
        <w:pStyle w:val="ListNumber"/>
        <w:spacing w:after="40"/>
      </w:pPr>
      <w:r>
        <w:rPr>
          <w:rFonts w:ascii="Aptos" w:hAnsi="Aptos"/>
          <w:color w:val="4F463D"/>
          <w:sz w:val="19"/>
        </w:rPr>
        <w:t>Compare the planned intervention with documented hydraulic or total-collapse precedents in the priority municipalities before defining investigation priorities.</w:t>
      </w:r>
    </w:p>
    <w:p>
      <w:pPr>
        <w:pStyle w:val="ListNumber"/>
        <w:spacing w:after="40"/>
      </w:pPr>
      <w:r>
        <w:rPr>
          <w:rFonts w:ascii="Aptos" w:hAnsi="Aptos"/>
          <w:color w:val="4F463D"/>
          <w:sz w:val="19"/>
        </w:rPr>
        <w:t>Use public WMS layers and ARCUS historical precedents as first-level screening, then commission site-specific hydraulic, geotechnical and structural checks before design decisions.</w:t>
      </w:r>
    </w:p>
    <w:p>
      <w:pPr>
        <w:pStyle w:val="ListNumber"/>
        <w:spacing w:after="40"/>
      </w:pPr>
      <w:r>
        <w:rPr>
          <w:rFonts w:ascii="Aptos" w:hAnsi="Aptos"/>
          <w:color w:val="4F463D"/>
          <w:sz w:val="19"/>
        </w:rPr>
        <w:t>Where historical precedent density is high, include inspection accessibility and monitoring feasibility in early design discussion.</w:t>
      </w:r>
    </w:p>
    <w:p>
      <w:pPr>
        <w:spacing w:before="160" w:after="80"/>
      </w:pPr>
      <w:r>
        <w:rPr>
          <w:rFonts w:ascii="Aptos" w:hAnsi="Aptos"/>
          <w:b/>
          <w:color w:val="15110F"/>
          <w:sz w:val="22"/>
        </w:rPr>
        <w:t>Example: Road crossing + Hydraulic</w:t>
      </w:r>
    </w:p>
    <w:p>
      <w:pPr>
        <w:pStyle w:val="ListNumber"/>
        <w:spacing w:after="40"/>
      </w:pPr>
      <w:r>
        <w:rPr>
          <w:rFonts w:ascii="Aptos" w:hAnsi="Aptos"/>
          <w:color w:val="4F463D"/>
          <w:sz w:val="19"/>
        </w:rPr>
        <w:t>For road crossing interventions, prioritise flood interruption, drainage capacity and local erosion screening.</w:t>
      </w:r>
    </w:p>
    <w:p>
      <w:pPr>
        <w:pStyle w:val="ListNumber"/>
        <w:spacing w:after="40"/>
      </w:pPr>
      <w:r>
        <w:rPr>
          <w:rFonts w:ascii="Aptos" w:hAnsi="Aptos"/>
          <w:color w:val="4F463D"/>
          <w:sz w:val="19"/>
        </w:rPr>
        <w:t>Review culverts, minor bridges, embankments and drainage bottlenecks that may concentrate flows or debris during extreme rainfall.</w:t>
      </w:r>
    </w:p>
    <w:p>
      <w:pPr>
        <w:pStyle w:val="ListNumber"/>
        <w:spacing w:after="40"/>
      </w:pPr>
      <w:r>
        <w:rPr>
          <w:rFonts w:ascii="Aptos" w:hAnsi="Aptos"/>
          <w:color w:val="4F463D"/>
          <w:sz w:val="19"/>
        </w:rPr>
        <w:t>Assess road continuity, accessibility and alternative routes where historical hydraulic precedents indicate possible interruption.</w:t>
      </w:r>
    </w:p>
    <w:p>
      <w:pPr>
        <w:pStyle w:val="ListNumber"/>
        <w:spacing w:after="40"/>
      </w:pPr>
      <w:r>
        <w:rPr>
          <w:rFonts w:ascii="Aptos" w:hAnsi="Aptos"/>
          <w:color w:val="4F463D"/>
          <w:sz w:val="19"/>
        </w:rPr>
        <w:t>Use ARCUS hydraulic precedents to identify municipalities where road continuity deserves further checks.</w:t>
      </w:r>
    </w:p>
    <w:p>
      <w:pPr>
        <w:pStyle w:val="ListNumber"/>
        <w:spacing w:after="40"/>
      </w:pPr>
      <w:r>
        <w:rPr>
          <w:rFonts w:ascii="Aptos" w:hAnsi="Aptos"/>
          <w:color w:val="4F463D"/>
          <w:sz w:val="19"/>
        </w:rPr>
        <w:t>Commission site-specific hydraulic and geotechnical checks before design decisions.</w:t>
      </w:r>
    </w:p>
    <w:p>
      <w:pPr>
        <w:spacing w:before="240" w:after="120"/>
      </w:pPr>
      <w:r>
        <w:rPr>
          <w:b/>
          <w:color w:val="C49040"/>
          <w:sz w:val="18"/>
        </w:rPr>
        <w:t xml:space="preserve">10  </w:t>
      </w:r>
      <w:r>
        <w:rPr>
          <w:rFonts w:ascii="Aptos" w:hAnsi="Aptos"/>
          <w:b/>
          <w:color w:val="15110F"/>
          <w:sz w:val="26"/>
        </w:rPr>
        <w:t>SUPPORTING DATA EXPORTS</w:t>
      </w:r>
    </w:p>
    <w:p>
      <w:pPr>
        <w:spacing w:after="120"/>
      </w:pPr>
      <w:r>
        <w:rPr>
          <w:rFonts w:ascii="Aptos" w:hAnsi="Aptos"/>
          <w:b w:val="0"/>
          <w:i w:val="0"/>
          <w:color w:val="4F463D"/>
          <w:sz w:val="20"/>
        </w:rPr>
        <w:t>The supporting files should be presented as part of the Professional package, not as hidden technical extras.</w:t>
      </w:r>
    </w:p>
    <w:p>
      <w:pPr>
        <w:pStyle w:val="ListBullet"/>
        <w:spacing w:after="40"/>
      </w:pPr>
      <w:r>
        <w:rPr>
          <w:rFonts w:ascii="Aptos" w:hAnsi="Aptos"/>
          <w:color w:val="4F463D"/>
          <w:sz w:val="19"/>
        </w:rPr>
        <w:t>Events CSV: include all filtered ARCUS events used in the report.</w:t>
      </w:r>
    </w:p>
    <w:p>
      <w:pPr>
        <w:pStyle w:val="ListBullet"/>
        <w:spacing w:after="40"/>
      </w:pPr>
      <w:r>
        <w:rPr>
          <w:rFonts w:ascii="Aptos" w:hAnsi="Aptos"/>
          <w:color w:val="4F463D"/>
          <w:sz w:val="19"/>
        </w:rPr>
        <w:t>Sources CSV: include source_id, event_id, title, type, role, date, URL and notes where available.</w:t>
      </w:r>
    </w:p>
    <w:p>
      <w:pPr>
        <w:pStyle w:val="ListBullet"/>
        <w:spacing w:after="40"/>
      </w:pPr>
      <w:r>
        <w:rPr>
          <w:rFonts w:ascii="Aptos" w:hAnsi="Aptos"/>
          <w:color w:val="4F463D"/>
          <w:sz w:val="19"/>
        </w:rPr>
        <w:t>GeoJSON: include event geometry and selected attributes for GIS use.</w:t>
      </w:r>
    </w:p>
    <w:p>
      <w:pPr>
        <w:pStyle w:val="ListBullet"/>
        <w:spacing w:after="40"/>
      </w:pPr>
      <w:r>
        <w:rPr>
          <w:rFonts w:ascii="Aptos" w:hAnsi="Aptos"/>
          <w:color w:val="4F463D"/>
          <w:sz w:val="19"/>
        </w:rPr>
        <w:t>Optional: provide both Excel-friendly semicolon CSV and standard comma CSV for interoperability.</w:t>
      </w:r>
    </w:p>
    <w:p>
      <w:pPr>
        <w:pStyle w:val="ListBullet"/>
        <w:spacing w:after="40"/>
      </w:pPr>
      <w:r>
        <w:rPr>
          <w:rFonts w:ascii="Aptos" w:hAnsi="Aptos"/>
          <w:color w:val="4F463D"/>
          <w:sz w:val="19"/>
        </w:rPr>
        <w:t>Full source table should stay outside the main PDF unless the user explicitly wants a full appendix.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  <w:shd w:fill="FBF4EC"/>
          </w:tcPr>
          <w:p>
            <w:pPr>
              <w:spacing w:after="0"/>
            </w:pPr>
            <w:r>
              <w:rPr>
                <w:rFonts w:ascii="Aptos" w:hAnsi="Aptos"/>
                <w:color w:val="4F463D"/>
                <w:sz w:val="18"/>
              </w:rPr>
              <w:t>In the PDF, keep only a short source appendix with the most important institutional, scientific and representative news sources. Full sources should be exported separately.</w:t>
            </w:r>
          </w:p>
        </w:tc>
      </w:tr>
    </w:tbl>
    <w:p>
      <w:pPr>
        <w:spacing w:before="240" w:after="120"/>
      </w:pPr>
      <w:r>
        <w:rPr>
          <w:b/>
          <w:color w:val="C49040"/>
          <w:sz w:val="18"/>
        </w:rPr>
        <w:t xml:space="preserve">11  </w:t>
      </w:r>
      <w:r>
        <w:rPr>
          <w:rFonts w:ascii="Aptos" w:hAnsi="Aptos"/>
          <w:b/>
          <w:color w:val="15110F"/>
          <w:sz w:val="26"/>
        </w:rPr>
        <w:t>VISUAL AND LAYOUT REFINEMENTS</w:t>
      </w:r>
    </w:p>
    <w:p>
      <w:pPr>
        <w:pStyle w:val="ListBullet"/>
        <w:spacing w:after="40"/>
      </w:pPr>
      <w:r>
        <w:rPr>
          <w:rFonts w:ascii="Aptos" w:hAnsi="Aptos"/>
          <w:color w:val="4F463D"/>
          <w:sz w:val="19"/>
        </w:rPr>
        <w:t>Add ARCUS logo to cover and footer.</w:t>
      </w:r>
    </w:p>
    <w:p>
      <w:pPr>
        <w:pStyle w:val="ListBullet"/>
        <w:spacing w:after="40"/>
      </w:pPr>
      <w:r>
        <w:rPr>
          <w:rFonts w:ascii="Aptos" w:hAnsi="Aptos"/>
          <w:color w:val="4F463D"/>
          <w:sz w:val="19"/>
        </w:rPr>
        <w:t>Remove all browser print artifacts.</w:t>
      </w:r>
    </w:p>
    <w:p>
      <w:pPr>
        <w:pStyle w:val="ListBullet"/>
        <w:spacing w:after="40"/>
      </w:pPr>
      <w:r>
        <w:rPr>
          <w:rFonts w:ascii="Aptos" w:hAnsi="Aptos"/>
          <w:color w:val="4F463D"/>
          <w:sz w:val="19"/>
        </w:rPr>
        <w:t>Increase map size or dedicate a larger block to the Atlas extract.</w:t>
      </w:r>
    </w:p>
    <w:p>
      <w:pPr>
        <w:pStyle w:val="ListBullet"/>
        <w:spacing w:after="40"/>
      </w:pPr>
      <w:r>
        <w:rPr>
          <w:rFonts w:ascii="Aptos" w:hAnsi="Aptos"/>
          <w:color w:val="4F463D"/>
          <w:sz w:val="19"/>
        </w:rPr>
        <w:t>Avoid overlapping map labels; use Map Ref markers instead.</w:t>
      </w:r>
    </w:p>
    <w:p>
      <w:pPr>
        <w:pStyle w:val="ListBullet"/>
        <w:spacing w:after="40"/>
      </w:pPr>
      <w:r>
        <w:rPr>
          <w:rFonts w:ascii="Aptos" w:hAnsi="Aptos"/>
          <w:color w:val="4F463D"/>
          <w:sz w:val="19"/>
        </w:rPr>
        <w:t>Make Project-Context Design Focus visually stronger with badges or cards.</w:t>
      </w:r>
    </w:p>
    <w:p>
      <w:pPr>
        <w:pStyle w:val="ListBullet"/>
        <w:spacing w:after="40"/>
      </w:pPr>
      <w:r>
        <w:rPr>
          <w:rFonts w:ascii="Aptos" w:hAnsi="Aptos"/>
          <w:color w:val="4F463D"/>
          <w:sz w:val="19"/>
        </w:rPr>
        <w:t>Simplify Comparable Precedents table in the PDF; keep detailed decomposition for CSV/export.</w:t>
      </w:r>
    </w:p>
    <w:p>
      <w:pPr>
        <w:pStyle w:val="ListBullet"/>
        <w:spacing w:after="40"/>
      </w:pPr>
      <w:r>
        <w:rPr>
          <w:rFonts w:ascii="Aptos" w:hAnsi="Aptos"/>
          <w:color w:val="4F463D"/>
          <w:sz w:val="19"/>
        </w:rPr>
        <w:t>Reduce Source Appendix density and fix split headers such as “DAT E”.</w:t>
      </w:r>
    </w:p>
    <w:p>
      <w:pPr>
        <w:pStyle w:val="ListBullet"/>
        <w:spacing w:after="40"/>
      </w:pPr>
      <w:r>
        <w:rPr>
          <w:rFonts w:ascii="Aptos" w:hAnsi="Aptos"/>
          <w:color w:val="4F463D"/>
          <w:sz w:val="19"/>
        </w:rPr>
        <w:t>Use consistent section numbering and page breaks.</w:t>
      </w:r>
    </w:p>
    <w:p>
      <w:pPr>
        <w:pStyle w:val="ListBullet"/>
        <w:spacing w:after="40"/>
      </w:pPr>
      <w:r>
        <w:rPr>
          <w:rFonts w:ascii="Aptos" w:hAnsi="Aptos"/>
          <w:color w:val="4F463D"/>
          <w:sz w:val="19"/>
        </w:rPr>
        <w:t>Keep the report clean, institutional and readable. Do not overload the PDF with every possible field.</w:t>
      </w:r>
    </w:p>
    <w:p>
      <w:pPr>
        <w:spacing w:before="240" w:after="120"/>
      </w:pPr>
      <w:r>
        <w:rPr>
          <w:b/>
          <w:color w:val="C49040"/>
          <w:sz w:val="18"/>
        </w:rPr>
        <w:t xml:space="preserve">12  </w:t>
      </w:r>
      <w:r>
        <w:rPr>
          <w:rFonts w:ascii="Aptos" w:hAnsi="Aptos"/>
          <w:b/>
          <w:color w:val="15110F"/>
          <w:sz w:val="26"/>
        </w:rPr>
        <w:t>IMPLEMENTATION CHECKLIST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  <w:shd w:fill="C49040"/>
          </w:tcPr>
          <w:p>
            <w:pPr>
              <w:spacing w:after="40"/>
            </w:pPr>
            <w:r>
              <w:rPr>
                <w:rFonts w:ascii="Aptos" w:hAnsi="Aptos"/>
                <w:b/>
                <w:color w:val="15110F"/>
                <w:sz w:val="16"/>
              </w:rPr>
              <w:t>Area</w:t>
            </w:r>
          </w:p>
        </w:tc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  <w:shd w:fill="C49040"/>
          </w:tcPr>
          <w:p>
            <w:pPr>
              <w:spacing w:after="40"/>
            </w:pPr>
            <w:r>
              <w:rPr>
                <w:rFonts w:ascii="Aptos" w:hAnsi="Aptos"/>
                <w:b/>
                <w:color w:val="15110F"/>
                <w:sz w:val="16"/>
              </w:rPr>
              <w:t>Action</w:t>
            </w:r>
          </w:p>
        </w:tc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  <w:shd w:fill="C49040"/>
          </w:tcPr>
          <w:p>
            <w:pPr>
              <w:spacing w:after="40"/>
            </w:pPr>
            <w:r>
              <w:rPr>
                <w:rFonts w:ascii="Aptos" w:hAnsi="Aptos"/>
                <w:b/>
                <w:color w:val="15110F"/>
                <w:sz w:val="16"/>
              </w:rPr>
              <w:t>Priority</w:t>
            </w:r>
          </w:p>
        </w:tc>
      </w:tr>
      <w:tr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PDF engine</w:t>
            </w:r>
          </w:p>
        </w:tc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Generate reports with Playwright/Puppeteer and remove browser header/footer artifacts.</w:t>
            </w:r>
          </w:p>
        </w:tc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High</w:t>
            </w:r>
          </w:p>
        </w:tc>
      </w:tr>
      <w:tr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Logo</w:t>
            </w:r>
          </w:p>
        </w:tc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Insert real ARCUS logo in cover and small footer mark.</w:t>
            </w:r>
          </w:p>
        </w:tc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High</w:t>
            </w:r>
          </w:p>
        </w:tc>
      </w:tr>
      <w:tr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Province-only Path 01</w:t>
            </w:r>
          </w:p>
        </w:tc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Keep Path 01 limited to province selection for now.</w:t>
            </w:r>
          </w:p>
        </w:tc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High</w:t>
            </w:r>
          </w:p>
        </w:tc>
      </w:tr>
      <w:tr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Map extraction</w:t>
            </w:r>
          </w:p>
        </w:tc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Create a report-map route and capture the actual Atlas map as PNG.</w:t>
            </w:r>
          </w:p>
        </w:tc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High</w:t>
            </w:r>
          </w:p>
        </w:tc>
      </w:tr>
      <w:tr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Map refs</w:t>
            </w:r>
          </w:p>
        </w:tc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Add P1/P2/P3 markers and Map Ref column in Priority Events.</w:t>
            </w:r>
          </w:p>
        </w:tc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High</w:t>
            </w:r>
          </w:p>
        </w:tc>
      </w:tr>
      <w:tr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Dynamic recommendations</w:t>
            </w:r>
          </w:p>
        </w:tc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Generate recommendations from projectContext + dominantDriver.</w:t>
            </w:r>
          </w:p>
        </w:tc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High</w:t>
            </w:r>
          </w:p>
        </w:tc>
      </w:tr>
      <w:tr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One-page brief</w:t>
            </w:r>
          </w:p>
        </w:tc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Compress to a true single-page A4 summary.</w:t>
            </w:r>
          </w:p>
        </w:tc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Medium</w:t>
            </w:r>
          </w:p>
        </w:tc>
      </w:tr>
      <w:tr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Export package</w:t>
            </w:r>
          </w:p>
        </w:tc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Expose PDF, one-page PDF, events CSV, sources CSV and GeoJSON clearly in the platform.</w:t>
            </w:r>
          </w:p>
        </w:tc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Medium</w:t>
            </w:r>
          </w:p>
        </w:tc>
      </w:tr>
      <w:tr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Appendix</w:t>
            </w:r>
          </w:p>
        </w:tc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Keep source appendix short in PDF and provide full CSV separately.</w:t>
            </w:r>
          </w:p>
        </w:tc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Medium</w:t>
            </w:r>
          </w:p>
        </w:tc>
      </w:tr>
      <w:tr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QA</w:t>
            </w:r>
          </w:p>
        </w:tc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Test Bridge, Road crossing, Railway crossing and Urban infrastructure cases before calling Path 01 stable.</w:t>
            </w:r>
          </w:p>
        </w:tc>
        <w:tc>
          <w:tcPr>
            <w:tcW w:type="dxa" w:w="3427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Medium</w:t>
            </w:r>
          </w:p>
        </w:tc>
      </w:tr>
    </w:tbl>
    <w:p>
      <w:pPr>
        <w:spacing w:before="240" w:after="120"/>
      </w:pPr>
      <w:r>
        <w:rPr>
          <w:b/>
          <w:color w:val="C49040"/>
          <w:sz w:val="18"/>
        </w:rPr>
        <w:t xml:space="preserve">13  </w:t>
      </w:r>
      <w:r>
        <w:rPr>
          <w:rFonts w:ascii="Aptos" w:hAnsi="Aptos"/>
          <w:b/>
          <w:color w:val="15110F"/>
          <w:sz w:val="26"/>
        </w:rPr>
        <w:t>FINAL POSITIONING</w:t>
      </w:r>
    </w:p>
    <w:p>
      <w:pPr>
        <w:spacing w:after="120"/>
      </w:pPr>
      <w:r>
        <w:rPr>
          <w:rFonts w:ascii="Aptos" w:hAnsi="Aptos"/>
          <w:b/>
          <w:i w:val="0"/>
          <w:color w:val="1C1713"/>
          <w:sz w:val="20"/>
        </w:rPr>
        <w:t>Path 01 should be positioned as a province-level preliminary infrastructure intelligence briefing. It should not promise structural verification, but it should help professional users frame the right questions before design, due diligence or site-specific investigation.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vAlign w:val="top"/>
            <w:tcBorders>
              <w:top w:sz="4" w:val="single" w:color="D7CAB9"/>
              <w:left w:sz="4" w:val="single" w:color="D7CAB9"/>
              <w:bottom w:sz="4" w:val="single" w:color="D7CAB9"/>
              <w:right w:sz="4" w:val="single" w:color="D7CAB9"/>
            </w:tcBorders>
            <w:shd w:fill="F9F2E8"/>
          </w:tcPr>
          <w:p>
            <w:pPr>
              <w:spacing w:after="0"/>
            </w:pPr>
            <w:r>
              <w:rPr>
                <w:rFonts w:ascii="Aptos" w:hAnsi="Aptos"/>
                <w:color w:val="4F463D"/>
                <w:sz w:val="18"/>
              </w:rPr>
              <w:t>Final product promise: Evidence -&gt; Interpretation -&gt; Project-context design focus -&gt; Operational next steps -&gt; Exportable professional package.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4F463D"/>
        <w:sz w:val="14"/>
      </w:rPr>
      <w:t>ARCUS PROFESSIONAL - PATH 01 FINAL IMPLEMENTATION ROADMAP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C171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