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星河游戏俱乐部网站全链路整理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75569"/>
          <w:sz w:val="24"/>
        </w:rPr>
        <w:t>已完成能力、当前断点与生产落地路线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文件把当前网站从用户进入、订单履约、资金结算到后台治理的完整链路统一整理，并区分已经打通的功能与仍需补齐的能力。当前后端主状态机、权限校验和资金状态流转已经具备继续完善的基础；需要优先处理的是普通成员个人入口、会话消息发送、配置维护页面与真实外部系统接入。</w:t>
      </w:r>
    </w:p>
    <w:p>
      <w:pPr>
        <w:pStyle w:val="Heading1"/>
      </w:pPr>
      <w:r>
        <w:t>一 完整业务主链路</w:t>
      </w:r>
    </w:p>
    <w:p>
      <w:r>
        <w:drawing>
          <wp:inline xmlns:a="http://schemas.openxmlformats.org/drawingml/2006/main" xmlns:pic="http://schemas.openxmlformats.org/drawingml/2006/picture">
            <wp:extent cx="6217920" cy="4380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80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 1  网站从用户进入到订单履约和提现结算的主链路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实线框表示当前已经在代码和测试中形成闭环的步骤。虚线框表示当前范围内明确存在、但还没有接入真实系统或自动化能力的部分。</w:t>
      </w:r>
    </w:p>
    <w:p>
      <w:pPr>
        <w:pStyle w:val="Heading1"/>
      </w:pPr>
      <w:r>
        <w:t>二 角色与后台工作区</w:t>
      </w:r>
    </w:p>
    <w:p>
      <w:r>
        <w:drawing>
          <wp:inline xmlns:a="http://schemas.openxmlformats.org/drawingml/2006/main" xmlns:pic="http://schemas.openxmlformats.org/drawingml/2006/picture">
            <wp:extent cx="6217920" cy="4098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9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 2  角色、陪玩准入和后台权限关系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最高负责人负责配置和治理；客服、财务、考官、售后和陪玩分别承担业务环节。陪玩身份与职责分开管理，设为陪玩时需要押金、等级和至少一个游戏。角色由服务端逐项限制，角色变化会撤销旧会话。</w:t>
      </w:r>
    </w:p>
    <w:p>
      <w:pPr>
        <w:pStyle w:val="Heading1"/>
      </w:pPr>
      <w:r>
        <w:t>三 当前已经完成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用户先进入俱乐部用户池，再由负责人使用已有用户 ID 加入成员，避免重复创建登录账号。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角色权限、订单归属、会话有效性和管理接口由服务端校验；停用或改职责会撤销旧会话。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陪玩准入包含押金、等级、游戏和冻结状态；等级决定接单门槛，游戏抽佣比例在派单时锁定。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订单支持版本检查、重复派单拦截、服务冲突拦截、在线状态和游戏匹配校验。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订单金额由服务端按商品和时长计算，余额支付即时扣减；验收通过后才入账。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充值审核、退款申请、部分退款额度、提现冻结、驳回返还、线下打款登记和审计记录已经形成状态机。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经营汇总、趋势、陪玩榜、用户榜、订单榜支持日期、游戏、Tag、金额或笔数筛选，并支持 CSV 汇总导出。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当前测试基线为 node --test tests/*.test.mjs，共 34 项通过。</w:t>
      </w:r>
    </w:p>
    <w:p>
      <w:pPr>
        <w:pStyle w:val="Heading1"/>
      </w:pPr>
      <w:r>
        <w:t>四 已发现的断链与风险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520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当前表现</w:t>
            </w:r>
          </w:p>
        </w:tc>
        <w:tc>
          <w:tcPr>
            <w:tcW w:type="dxa" w:w="2520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520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完善建议</w:t>
            </w:r>
          </w:p>
        </w:tc>
      </w:tr>
      <w:tr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7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普通成员个人入口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7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前端导航列出我的点单、售后记录、我的钱包，但服务端 member 角色 pages 只有 overview，进入后会被回退。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7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7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让普通成员继承用户个人能力并补齐 workspace 数据；或删除这些入口并明确限制。</w:t>
            </w:r>
          </w:p>
        </w:tc>
      </w:tr>
      <w:tr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会话消息发送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服务端存在消息接口，但会话弹窗没有消息输入和发送调用，目前只能查看历史消息、保存内部跟进。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增加消息输入、发送、未读状态和客服/用户双方消息展示。</w:t>
            </w:r>
          </w:p>
        </w:tc>
      </w:tr>
      <w:tr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7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游戏与商品配置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7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catalog 页面当前以展示为主，缺少增删改、上下架和价格维护链路。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7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7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补齐配置 API、表单、校验、变更审计与订单引用保护。</w:t>
            </w:r>
          </w:p>
        </w:tc>
      </w:tr>
      <w:tr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财务列表数据来源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部分财务列表仍使用历史示例或前端推算，真正资金明细在资金流水页。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统一以服务端流水和结算记录作为唯一数据源。</w:t>
            </w:r>
          </w:p>
        </w:tc>
      </w:tr>
      <w:tr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7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外部支付与消息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7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用户中心、充值支付回调、原路退款、银行打款、实时消息和自动催办尚未接入。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7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7FAFC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按下一节路线分阶段接入，并为每个外部回调增加幂等号和对账。</w:t>
            </w:r>
          </w:p>
        </w:tc>
      </w:tr>
      <w:tr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生产安全治理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生产 HTTPS、管理员二次验证、备份恢复、限流监控和敏感字段脱敏尚未完成。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25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上线前完成安全基线、备份演练和关键操作审计。</w:t>
            </w:r>
          </w:p>
        </w:tc>
      </w:tr>
    </w:tbl>
    <w:p>
      <w:pPr>
        <w:pStyle w:val="Heading1"/>
      </w:pPr>
      <w:r>
        <w:t>五 建议的生产落地顺序</w:t>
      </w:r>
    </w:p>
    <w:p>
      <w:r>
        <w:drawing>
          <wp:inline xmlns:a="http://schemas.openxmlformats.org/drawingml/2006/main" xmlns:pic="http://schemas.openxmlformats.org/drawingml/2006/picture">
            <wp:extent cx="6217920" cy="38155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5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 3  未完成项按阶段推进的建议路线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第一阶段先补齐前端和权限断链，确保普通成员、消息会话、游戏商品配置和财务明细都能从入口走到结果。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第二阶段接入用户中心、支付、退款和提现等外部系统，所有回调使用幂等号、签名校验和自动对账。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第三阶段建设生产治理，包括通知、SLA 自动催办、异常告警、定时报表、HTTPS、二次验证、备份恢复和监控。</w:t>
      </w:r>
    </w:p>
    <w:p>
      <w:pPr>
        <w:pStyle w:val="Heading1"/>
      </w:pPr>
      <w:r>
        <w:t>六 交付判断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当前版本可以作为本地演示和内部流程评审版本：核心订单、角色、资金和统计链路已经可验证；要进入真实运营，还需要完成断链修复、外部支付与消息接入，以及生产安全和数据治理。</w:t>
      </w:r>
    </w:p>
    <w:sectPr w:rsidR="00FC693F" w:rsidRPr="0006063C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8"/>
      </w:rPr>
      <w:t>星河游戏俱乐部后台链路整理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