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Status Report - Q3 2026</w:t>
      </w:r>
    </w:p>
    <w:p>
      <w:r>
        <w:t>Project Atlas (next-generation robotic arm) remains on track for a December beta release. Firmware integration testing is 70% complete.</w:t>
      </w:r>
    </w:p>
    <w:p>
      <w:r>
        <w:t>Engineering headcount grew to 142 this quarter (+18), primarily in firmware and test engineering.</w:t>
      </w:r>
    </w:p>
    <w:p>
      <w:r>
        <w:t>Unit test coverage improved to 81% across the firmware codebase, up from 74% last quarter.</w:t>
      </w:r>
    </w:p>
    <w:p>
      <w:pPr>
        <w:pStyle w:val="Heading2"/>
      </w:pPr>
      <w:r>
        <w:t>Supply Chain Risk</w:t>
      </w:r>
    </w:p>
    <w:p>
      <w:r>
        <w:t>We've confirmed SensTech's proximity sensor lead-time increase mentioned in the finance report. The team has identified a second source, OptoSense, but full qualification and validation testing will not complete until early Q1 2027. Until then, Atlas arm shipments remain exposed to SensTech's lead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