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7445" w14:textId="117E4DB0" w:rsidR="003824BE" w:rsidRDefault="00244199" w:rsidP="00244199">
      <w:pPr>
        <w:pStyle w:val="Titolo1"/>
      </w:pPr>
      <w:r>
        <w:t>Progetto</w:t>
      </w:r>
    </w:p>
    <w:p w14:paraId="09EBBB15" w14:textId="5D528614" w:rsidR="00863DD1" w:rsidRDefault="00863DD1" w:rsidP="00863DD1">
      <w:pPr>
        <w:pStyle w:val="Titolo2"/>
      </w:pPr>
      <w:r>
        <w:t>CIAS FERRARA</w:t>
      </w:r>
    </w:p>
    <w:p w14:paraId="74527C8F" w14:textId="77777777" w:rsidR="00ED51E1" w:rsidRDefault="00ED51E1" w:rsidP="00ED51E1">
      <w:pPr>
        <w:rPr>
          <w:u w:val="single"/>
        </w:rPr>
      </w:pPr>
      <w:r w:rsidRPr="00925100">
        <w:t>Il progetto è stato commissionato dal CIAS (Centro ricerche Inquinamento Fisico Chimico Microbiologico Ambienti Alta Sterilità) dell'Università degli Studi di Ferrara.</w:t>
      </w:r>
      <w:r>
        <w:t xml:space="preserve">  Il Centro è stato fondato nel 2005 come struttura di ricerca interna del Dipartimento di Architettura. </w:t>
      </w:r>
      <w:r w:rsidRPr="00925100">
        <w:t xml:space="preserve">Nel 2013, è stato trasformato in Centro Interdipartimentale </w:t>
      </w:r>
      <w:r w:rsidRPr="00EE6AEB">
        <w:t>dell'Ateneo ed attualmente coinvolge il Dipartimento di Architettura e il Dipartimento di Scienze dell’Ambiente e della Prevenzione, che dal 2024 ne costituisce il dipartimento di afferenza.</w:t>
      </w:r>
      <w:r>
        <w:t xml:space="preserve"> </w:t>
      </w:r>
    </w:p>
    <w:p w14:paraId="1B816181" w14:textId="77777777" w:rsidR="00ED51E1" w:rsidRDefault="00ED51E1" w:rsidP="00ED51E1">
      <w:r w:rsidRPr="00547B23">
        <w:t>Il CIAS integra ricerca scientifica, attività diagnostica e ingegneria impiantistica per la gestione del controllo della contaminazione e l’efficienza energetica in ambienti confinati complessi. Le sue attività si articolano in quattro principali macroaree:</w:t>
      </w:r>
    </w:p>
    <w:p w14:paraId="4D86468A" w14:textId="77777777" w:rsidR="00ED51E1" w:rsidRPr="00EE6AEB" w:rsidRDefault="00ED51E1" w:rsidP="00ED51E1">
      <w:pPr>
        <w:pStyle w:val="Paragrafoelenco"/>
        <w:numPr>
          <w:ilvl w:val="0"/>
          <w:numId w:val="8"/>
        </w:numPr>
      </w:pPr>
      <w:proofErr w:type="spellStart"/>
      <w:r w:rsidRPr="00EE6AEB">
        <w:rPr>
          <w:b/>
          <w:bCs/>
        </w:rPr>
        <w:t>Pollution</w:t>
      </w:r>
      <w:proofErr w:type="spellEnd"/>
      <w:r w:rsidRPr="00EE6AEB">
        <w:rPr>
          <w:b/>
          <w:bCs/>
        </w:rPr>
        <w:t xml:space="preserve"> &amp; Health:</w:t>
      </w:r>
      <w:r w:rsidRPr="00EE6AEB">
        <w:t xml:space="preserve"> analisi e interventi sui contaminanti di tipo fisico, chimico e microbiologico, aerei e di superficie, e dei loro effetti sulla salute umana e animale. Include la validazione sperimentale di protocolli di sanificazione clinica o industriale (aree GMP) e lo sviluppo di sistemi </w:t>
      </w:r>
      <w:proofErr w:type="spellStart"/>
      <w:r w:rsidRPr="00EE6AEB">
        <w:t>bio-based</w:t>
      </w:r>
      <w:proofErr w:type="spellEnd"/>
      <w:r w:rsidRPr="00EE6AEB">
        <w:t xml:space="preserve"> per il contrasto delle Infezioni Correlate all'Assistenza (ICA).</w:t>
      </w:r>
    </w:p>
    <w:p w14:paraId="334CEA36" w14:textId="77777777" w:rsidR="00ED51E1" w:rsidRPr="00EE6AEB" w:rsidRDefault="00ED51E1" w:rsidP="00ED51E1">
      <w:pPr>
        <w:pStyle w:val="Paragrafoelenco"/>
        <w:numPr>
          <w:ilvl w:val="0"/>
          <w:numId w:val="8"/>
        </w:numPr>
      </w:pPr>
      <w:r w:rsidRPr="00EE6AEB">
        <w:rPr>
          <w:b/>
          <w:bCs/>
        </w:rPr>
        <w:t>Environment &amp; Energy:</w:t>
      </w:r>
      <w:r w:rsidRPr="00EE6AEB">
        <w:t xml:space="preserve"> analisi ambientali finalizzate al miglioramento del comfort, della qualità dell'aria e dell'efficienza impiantistica ed energetica, con particolare riferimento ai requisiti tecnici e strutturali di ambiti ad elevata sterilità come blocchi operatori e laboratori.</w:t>
      </w:r>
    </w:p>
    <w:p w14:paraId="28C1D76F" w14:textId="77777777" w:rsidR="00ED51E1" w:rsidRPr="00EE6AEB" w:rsidRDefault="00ED51E1" w:rsidP="00ED51E1">
      <w:pPr>
        <w:pStyle w:val="Paragrafoelenco"/>
        <w:numPr>
          <w:ilvl w:val="0"/>
          <w:numId w:val="8"/>
        </w:numPr>
      </w:pPr>
      <w:r w:rsidRPr="00EE6AEB">
        <w:rPr>
          <w:b/>
          <w:bCs/>
        </w:rPr>
        <w:t>Heritage:</w:t>
      </w:r>
      <w:r w:rsidRPr="00EE6AEB">
        <w:t xml:space="preserve"> analisi dei fenomeni di degrado biologico, fisico e chimico di beni di interesse storico-artistico finalizzate alla loro conservazione preventiva, unitamente alla progettazione di impianti idonei alla tutela degli spazi espositivi e museali.</w:t>
      </w:r>
    </w:p>
    <w:p w14:paraId="2F72918C" w14:textId="77777777" w:rsidR="00ED51E1" w:rsidRDefault="00ED51E1" w:rsidP="00ED51E1">
      <w:pPr>
        <w:pStyle w:val="Paragrafoelenco"/>
        <w:numPr>
          <w:ilvl w:val="0"/>
          <w:numId w:val="8"/>
        </w:numPr>
      </w:pPr>
      <w:proofErr w:type="spellStart"/>
      <w:r w:rsidRPr="00EE6AEB">
        <w:rPr>
          <w:b/>
          <w:bCs/>
        </w:rPr>
        <w:t>Safety</w:t>
      </w:r>
      <w:proofErr w:type="spellEnd"/>
      <w:r w:rsidRPr="00EE6AEB">
        <w:rPr>
          <w:b/>
          <w:bCs/>
        </w:rPr>
        <w:t xml:space="preserve"> &amp; Training:</w:t>
      </w:r>
      <w:r w:rsidRPr="00EE6AEB">
        <w:t xml:space="preserve"> ricerca applicata nel settore della sicurezza sul lavoro e della prevenzione incendi, accoppiata ad attività di formazione specialistica e aggiornamento professionale su procedure di biosicurezza e tecniche di analisi microbiologica.</w:t>
      </w:r>
    </w:p>
    <w:p w14:paraId="57AEEDCA" w14:textId="77777777" w:rsidR="009B6B21" w:rsidRPr="00EE6AEB" w:rsidRDefault="009B6B21" w:rsidP="009B6B21">
      <w:r w:rsidRPr="009B6B21">
        <w:t xml:space="preserve">Le attività di campionamento e le analisi di laboratorio sono condotte in conformità a metodi ufficiali accreditati, seguendo rigorosi protocolli standardizzati. Le procedure operative si articolano in due fasi sequenziali e interdipendenti: i metodi di campionamento definiscono le operazioni sul campo e la strumentazione necessaria per il prelievo rappresentativo della matrice ambientale, come stabilito, per esempio, dalla norma UNI EN 13098 per la pianificazione del campionamento di </w:t>
      </w:r>
      <w:proofErr w:type="spellStart"/>
      <w:r w:rsidRPr="009B6B21">
        <w:t>bioaerosol</w:t>
      </w:r>
      <w:proofErr w:type="spellEnd"/>
      <w:r w:rsidRPr="009B6B21">
        <w:t xml:space="preserve">; i metodi di prova stabiliscono i protocolli analitici e microbiologici di laboratorio per la determinazione e quantificazione della contaminazione, in conformità a standard come la norma UNI EN ISO 4833 per la conta dei microrganismi vivi. </w:t>
      </w:r>
      <w:r w:rsidRPr="00ED51E1">
        <w:t>In laboratorio, queste fasi costituiscono un ciclo operativo unico, validato formalmente congiuntamente dai due standard (</w:t>
      </w:r>
      <m:oMath>
        <m:r>
          <m:rPr>
            <m:nor/>
          </m:rPr>
          <m:t>UNI EN 13098</m:t>
        </m:r>
        <m:r>
          <w:rPr>
            <w:rFonts w:ascii="Cambria Math" w:hAnsi="Cambria Math"/>
          </w:rPr>
          <m:t>+</m:t>
        </m:r>
        <m:r>
          <m:rPr>
            <m:nor/>
          </m:rPr>
          <m:t>UNI EN ISO 4833</m:t>
        </m:r>
      </m:oMath>
      <w:r w:rsidRPr="00ED51E1">
        <w:t>). La conformità delle procedure e la competenza tecnica della struttura sono attestati dall’accreditamento di Accredia (Ente Italiano di Accreditamento), che ne garantisce l’affidabilità tramite verifiche ispettive e audit periodici.</w:t>
      </w:r>
    </w:p>
    <w:p w14:paraId="310BADCF" w14:textId="77777777" w:rsidR="00863DD1" w:rsidRDefault="00863DD1" w:rsidP="00863DD1">
      <w:pPr>
        <w:pStyle w:val="Titolo2"/>
      </w:pPr>
    </w:p>
    <w:p w14:paraId="1239D862" w14:textId="77777777" w:rsidR="00B15938" w:rsidRDefault="00B15938" w:rsidP="00863DD1">
      <w:pPr>
        <w:pStyle w:val="Titolo2"/>
      </w:pPr>
      <w:r>
        <w:t>ENVASS</w:t>
      </w:r>
    </w:p>
    <w:p w14:paraId="1700DE77" w14:textId="53CE87B0" w:rsidR="007A1674" w:rsidRPr="007A1674" w:rsidRDefault="007A1674" w:rsidP="007A1674">
      <w:r>
        <w:t xml:space="preserve">Il progetto ENVASS nasce e si sviluppa all’interno del laboratorio CIAS per rispondere alla necessità di creare un sistema gestionale centralizzato capace di archiviare e tracciare e gestire tutte le informazioni riguardanti i campioni analizzati. Nella sua prima versione, il sistema si presentava come un’interfaccia web statica, la cui funzione principale era la catalogazione manuale dei singoli campioni analizzati con possibilità di allegare la foto. </w:t>
      </w:r>
      <w:r w:rsidR="000524AB">
        <w:t>A seguire</w:t>
      </w:r>
      <w:r>
        <w:t xml:space="preserve"> era poi possibile estrarre dei dati </w:t>
      </w:r>
      <w:r w:rsidR="000524AB" w:rsidRPr="000524AB">
        <w:t>filtri di ricerca basati su variabili chiave come il progetto di riferimento, la struttura ospitante e la cronologia temporale delle rilevazioni.</w:t>
      </w:r>
    </w:p>
    <w:p w14:paraId="1BA2098F" w14:textId="531EE306" w:rsidR="000524AB" w:rsidRDefault="000524AB" w:rsidP="00B15938">
      <w:r w:rsidRPr="000524AB">
        <w:lastRenderedPageBreak/>
        <w:t>Successivamente, in risposta alle crescenti esigenze di digitalizzazione e ai rigorosi requisiti di conformità e tracciabilità imposti dall’ente nazionale di accreditamento ACCREDIA, si è resa necessaria l’evoluzione della piattaforma verso un’architettura più moderna e integrata, capace di estendere il controllo informatico a tutte le fasi della filiera operativa e procedurale del laboratorio. </w:t>
      </w:r>
      <w:r>
        <w:t xml:space="preserve"> </w:t>
      </w:r>
    </w:p>
    <w:p w14:paraId="6A8E2804" w14:textId="25ECD335" w:rsidR="000524AB" w:rsidRDefault="000524AB" w:rsidP="00B15938">
      <w:r w:rsidRPr="000524AB">
        <w:t>Per realizzare questa transizione tecnologica, il CIAS ha affidato al laboratorio ACLAI la progettazione e lo sviluppo di una versione avanzata del sistema preesistente.</w:t>
      </w:r>
    </w:p>
    <w:p w14:paraId="1B91A202" w14:textId="0268FA95" w:rsidR="000524AB" w:rsidRDefault="000524AB" w:rsidP="00B15938">
      <w:r w:rsidRPr="000524AB">
        <w:t>L'analisi approfondita dell'intero flusso di lavoro e delle necessità normative ha permesso di mappare i processi core e di ingegnerizzare un'architettura software strutturata in sei macro-blocchi principali.</w:t>
      </w:r>
    </w:p>
    <w:p w14:paraId="57BFF0A6" w14:textId="2A5ED452" w:rsidR="000D41F9" w:rsidRDefault="000D41F9" w:rsidP="000D41F9">
      <w:pPr>
        <w:pStyle w:val="Titolo3"/>
      </w:pPr>
      <w:r>
        <w:t>Anagrafica</w:t>
      </w:r>
    </w:p>
    <w:p w14:paraId="7E28FB3B" w14:textId="070C3292" w:rsidR="006E2734" w:rsidRDefault="006E2734" w:rsidP="006E2734">
      <w:r>
        <w:t xml:space="preserve">L’anagrafica svolge il ruolo di registro centrale delle entità strutturali, dei soggetti e delle attività di laboratorio. </w:t>
      </w:r>
    </w:p>
    <w:p w14:paraId="57181C75" w14:textId="3859808B" w:rsidR="006E2734" w:rsidRDefault="006E2734" w:rsidP="006E2734">
      <w:r>
        <w:t xml:space="preserve">Nel dettaglio il modulo gestisce i profili dei committenti, ossia i clienti esterni o gli enti terzi che richiedono le </w:t>
      </w:r>
      <w:r w:rsidRPr="006E2734">
        <w:t>prestazioni analitiche del CIAS. Per ciascun committente, il sistema archivia sistematicamente le informazioni di contatto, come recapiti telefonici, indirizzi di posta elettronica e sedi fisiche, garantendo la tracciabilità amministrativa e la corretta associazione delle commesse.</w:t>
      </w:r>
      <w:r>
        <w:t xml:space="preserve"> </w:t>
      </w:r>
    </w:p>
    <w:p w14:paraId="476850FE" w14:textId="2FFDE7EE" w:rsidR="006E2734" w:rsidRDefault="006E2734" w:rsidP="006E2734">
      <w:r>
        <w:t xml:space="preserve">Dal punto di vista logistico, </w:t>
      </w:r>
      <w:r w:rsidR="00D865FE" w:rsidRPr="00D865FE">
        <w:t>l’</w:t>
      </w:r>
      <w:r w:rsidR="00D865FE">
        <w:t>a</w:t>
      </w:r>
      <w:r w:rsidR="00D865FE" w:rsidRPr="00D865FE">
        <w:t xml:space="preserve">nagrafica mappa </w:t>
      </w:r>
      <w:r w:rsidR="00D865FE">
        <w:t>i</w:t>
      </w:r>
      <w:r w:rsidR="00D865FE" w:rsidRPr="00D865FE">
        <w:t xml:space="preserve"> siti di indagine tramite un legame gerarchico tra strutture e partizioni. Le strutture rappresentano i complessi edilizi, i presidi ospedalieri o i siti industriali nella loro interezza, mentre le partizioni ne definiscono le macro-suddivisioni interne, come piani o settori di un edificio.</w:t>
      </w:r>
    </w:p>
    <w:p w14:paraId="12E7A9B2" w14:textId="3B4AD7F3" w:rsidR="0015558B" w:rsidRDefault="0015558B" w:rsidP="006E2734">
      <w:r>
        <w:t>Le attività invece</w:t>
      </w:r>
      <w:r w:rsidR="00AD2D40">
        <w:t xml:space="preserve"> sono i</w:t>
      </w:r>
      <w:r w:rsidR="00AD2D40" w:rsidRPr="00AD2D40">
        <w:t xml:space="preserve"> progetti assegnati e gestiti dal laboratorio. Ogni attività è caratterizzata da una gerarchia di attributi, comprendente una tipologia specifica che ne determina natura e finalità (ad esempio, </w:t>
      </w:r>
      <w:r w:rsidR="00AD2D40">
        <w:t xml:space="preserve">progetto di </w:t>
      </w:r>
      <w:r w:rsidR="00AD2D40" w:rsidRPr="00AD2D40">
        <w:t>ricerca, monitoraggi</w:t>
      </w:r>
      <w:r w:rsidR="00AD2D40">
        <w:t>, etc.…</w:t>
      </w:r>
      <w:r w:rsidR="00AD2D40" w:rsidRPr="00AD2D40">
        <w:t>) e uno stato operativo</w:t>
      </w:r>
      <w:r w:rsidR="00AD2D40">
        <w:t>.</w:t>
      </w:r>
    </w:p>
    <w:p w14:paraId="04F5C7AB" w14:textId="5D8EFE3A" w:rsidR="000D41F9" w:rsidRPr="000D41F9" w:rsidRDefault="0015558B" w:rsidP="0015558B">
      <w:r>
        <w:t xml:space="preserve">Infine, nel blocco degli utenti, viene censito </w:t>
      </w:r>
      <w:r w:rsidRPr="0015558B">
        <w:t>il personale autorizzato a interagire con il sistema software e assegnando a ciascun profilo una specifica matrice di diritti e permessi operativi. Questa profilazione è essenziale per regolamentare in modo gerarchico i livelli di accesso alle funzionalità di inserimento, modifica o sola consultazione dei dati, garantendo la sicurezza informatica e l'integrità delle informazioni in conformità con i requisiti ispettivi.</w:t>
      </w:r>
      <w:r w:rsidR="000D41F9">
        <w:t xml:space="preserve"> </w:t>
      </w:r>
    </w:p>
    <w:p w14:paraId="4E76CB85" w14:textId="77777777" w:rsidR="000D41F9" w:rsidRDefault="000D41F9" w:rsidP="000D41F9">
      <w:pPr>
        <w:pStyle w:val="Titolo3"/>
      </w:pPr>
      <w:r>
        <w:t>Liste</w:t>
      </w:r>
    </w:p>
    <w:p w14:paraId="3E426D6E" w14:textId="03DD4FF4" w:rsidR="00616BCA" w:rsidRDefault="000D41F9" w:rsidP="000D41F9">
      <w:r>
        <w:t xml:space="preserve">Le liste sono </w:t>
      </w:r>
      <w:r w:rsidR="00616BCA">
        <w:t xml:space="preserve">un insieme di oggetti </w:t>
      </w:r>
      <w:r w:rsidR="00AD2D40">
        <w:t>eterogeni</w:t>
      </w:r>
      <w:r w:rsidR="00616BCA">
        <w:t xml:space="preserve"> che rappresentano parti fondamentali per la descrizione del progetto, come strumenti di campionamento, antibiotici, piastre, punti di campionamento, tipologia stanza, </w:t>
      </w:r>
      <w:proofErr w:type="spellStart"/>
      <w:r w:rsidR="00616BCA">
        <w:t>etc</w:t>
      </w:r>
      <w:proofErr w:type="spellEnd"/>
      <w:r w:rsidR="00616BCA">
        <w:t>…</w:t>
      </w:r>
    </w:p>
    <w:p w14:paraId="42A26600" w14:textId="17B6B20A" w:rsidR="00616BCA" w:rsidRDefault="00616BCA" w:rsidP="000D41F9">
      <w:r>
        <w:t>I punti sono …</w:t>
      </w:r>
    </w:p>
    <w:p w14:paraId="7255507B" w14:textId="615766C9" w:rsidR="00616BCA" w:rsidRDefault="00616BCA" w:rsidP="000D41F9">
      <w:r>
        <w:t>Le piastre sono …</w:t>
      </w:r>
    </w:p>
    <w:p w14:paraId="6DB13C1A" w14:textId="6A2E5555" w:rsidR="00616BCA" w:rsidRPr="000D41F9" w:rsidRDefault="00616BCA" w:rsidP="000D41F9">
      <w:r>
        <w:t>Descrivere cosa mi serve più tardi</w:t>
      </w:r>
    </w:p>
    <w:p w14:paraId="120299A2" w14:textId="77777777" w:rsidR="000D41F9" w:rsidRDefault="000D41F9" w:rsidP="000D41F9">
      <w:pPr>
        <w:pStyle w:val="Titolo3"/>
      </w:pPr>
      <w:r>
        <w:t>Verbali</w:t>
      </w:r>
    </w:p>
    <w:p w14:paraId="77816E94" w14:textId="1989B250" w:rsidR="00616BCA" w:rsidRDefault="00616BCA" w:rsidP="00616BCA">
      <w:r>
        <w:t>Il verbale rappresenta il documento che accompagna il tecnico durante il campionamento. Inizialmente questo documento descrive l’anagrafica, riportando tutte le informazioni necessarie al raggiungimento del luogo di campionamento e poi un riepilogo di questo campionamento.</w:t>
      </w:r>
    </w:p>
    <w:p w14:paraId="5C6CE418" w14:textId="4BD6DD23" w:rsidR="00616BCA" w:rsidRDefault="00616BCA" w:rsidP="00616BCA">
      <w:r>
        <w:t xml:space="preserve">Il verbale viene creato a partire da una campagna di campionamento, che riporta l’informazione riguardo al committente, l’attività e la struttura. </w:t>
      </w:r>
    </w:p>
    <w:p w14:paraId="7C95E673" w14:textId="47C40609" w:rsidR="00AD377E" w:rsidRDefault="00AD377E" w:rsidP="00616BCA">
      <w:r>
        <w:lastRenderedPageBreak/>
        <w:t xml:space="preserve">Una campagna può avere molteplici verbali, ma un verbale appartiene solo ad ‘una campagna. Quindi una volta definita la campagna, aggiungendo la partizione e l’area di partizione e la tipologia di </w:t>
      </w:r>
      <w:proofErr w:type="gramStart"/>
      <w:r>
        <w:t>verbale(</w:t>
      </w:r>
      <w:proofErr w:type="gramEnd"/>
      <w:r>
        <w:t>interno o esterno) si crea il verbale.</w:t>
      </w:r>
    </w:p>
    <w:p w14:paraId="22809DA2" w14:textId="1A790138" w:rsidR="00616BCA" w:rsidRDefault="00AD377E" w:rsidP="00616BCA">
      <w:r>
        <w:t xml:space="preserve">La tipologia di verbale definisce se è il laboratorio a condurre il campionamento, in quello interno, o se è un ente esterno che poi consegna i campioni al laboratorio, esterno. </w:t>
      </w:r>
    </w:p>
    <w:p w14:paraId="75676898" w14:textId="77777777" w:rsidR="00255378" w:rsidRDefault="00AD377E" w:rsidP="00616BCA">
      <w:r>
        <w:t xml:space="preserve">Indipendentemente dalla tipologia di verbale le informazioni si dividono in </w:t>
      </w:r>
      <w:proofErr w:type="gramStart"/>
      <w:r>
        <w:t>3</w:t>
      </w:r>
      <w:proofErr w:type="gramEnd"/>
      <w:r>
        <w:t xml:space="preserve"> categorie</w:t>
      </w:r>
      <w:r w:rsidR="00255378">
        <w:t>.</w:t>
      </w:r>
    </w:p>
    <w:p w14:paraId="0E14B995" w14:textId="593209FE" w:rsidR="00255378" w:rsidRDefault="00255378" w:rsidP="00255378">
      <w:pPr>
        <w:pStyle w:val="Paragrafoelenco"/>
        <w:numPr>
          <w:ilvl w:val="0"/>
          <w:numId w:val="1"/>
        </w:numPr>
      </w:pPr>
      <w:r>
        <w:t>Stanze, modalità e punto di campionamento che definisce dove, come e cosa campionano nello specifico</w:t>
      </w:r>
    </w:p>
    <w:p w14:paraId="25EB5212" w14:textId="77777777" w:rsidR="00255378" w:rsidRDefault="00255378" w:rsidP="00255378">
      <w:pPr>
        <w:pStyle w:val="Paragrafoelenco"/>
        <w:numPr>
          <w:ilvl w:val="0"/>
          <w:numId w:val="1"/>
        </w:numPr>
      </w:pPr>
      <w:r>
        <w:t>Strumenti e piantina del luogo</w:t>
      </w:r>
    </w:p>
    <w:p w14:paraId="5625ECD9" w14:textId="6457C92D" w:rsidR="00AD377E" w:rsidRDefault="00255378" w:rsidP="00255378">
      <w:pPr>
        <w:pStyle w:val="Paragrafoelenco"/>
        <w:numPr>
          <w:ilvl w:val="0"/>
          <w:numId w:val="1"/>
        </w:numPr>
      </w:pPr>
      <w:r>
        <w:t>Accettazione che viene compilata al ritorno dal campionamento se intorno, o alla consegna dei compiano da parte dell’ente esterno, che riporta dettagli del campionamento e del trasporto appena svolto.</w:t>
      </w:r>
      <w:r w:rsidR="00AD377E">
        <w:t xml:space="preserve"> </w:t>
      </w:r>
    </w:p>
    <w:p w14:paraId="68FD0D24" w14:textId="1EF3951A" w:rsidR="00255378" w:rsidRPr="00616BCA" w:rsidRDefault="00255378" w:rsidP="00255378">
      <w:r>
        <w:t xml:space="preserve">Una volta accertati della correttezza delle informazioni, i campioni vengono automaticamente generati e </w:t>
      </w:r>
      <w:r w:rsidR="00BB4CA7">
        <w:t>inserite nella sezione dell’analisi</w:t>
      </w:r>
    </w:p>
    <w:p w14:paraId="35BD50C0" w14:textId="5BC764C1" w:rsidR="00BB4CA7" w:rsidRDefault="000D41F9" w:rsidP="000D41F9">
      <w:pPr>
        <w:pStyle w:val="Titolo3"/>
      </w:pPr>
      <w:r>
        <w:t>Analisi</w:t>
      </w:r>
    </w:p>
    <w:p w14:paraId="2490E8F7" w14:textId="4970D0B5" w:rsidR="00BB4CA7" w:rsidRDefault="00BB4CA7" w:rsidP="00BB4CA7">
      <w:r>
        <w:t xml:space="preserve">Per essere analizzati i campioni devono essere sottoposti ad un periodo di incubazione nel quale si permette alle colonie di batteri di crescere, per poi venire quantificati. Il periodo dipende dal metodo di prova che si sta seguendo. </w:t>
      </w:r>
    </w:p>
    <w:p w14:paraId="24AEC3DC" w14:textId="4698F29B" w:rsidR="00BB4CA7" w:rsidRDefault="00BB4CA7" w:rsidP="00BB4CA7">
      <w:r>
        <w:t>Una volta terminato si procede alla conta delle colonie cresciute, del tipo di batterio, inserimento delle foto e del tecnico che si è occupato delle analisi.</w:t>
      </w:r>
    </w:p>
    <w:p w14:paraId="13B20CD3" w14:textId="30A2B7DF" w:rsidR="00BB4CA7" w:rsidRPr="00BB4CA7" w:rsidRDefault="00BB4CA7" w:rsidP="00BB4CA7">
      <w:r>
        <w:t xml:space="preserve">Come ulteriori test vengono eseguiti la speciazione (da definire) e la presenza di batteri </w:t>
      </w:r>
      <w:proofErr w:type="spellStart"/>
      <w:r>
        <w:t>gram</w:t>
      </w:r>
      <w:proofErr w:type="spellEnd"/>
      <w:r>
        <w:t xml:space="preserve"> (da spiegare)</w:t>
      </w:r>
    </w:p>
    <w:p w14:paraId="2F7E6792" w14:textId="77777777" w:rsidR="00BB4CA7" w:rsidRDefault="000D41F9" w:rsidP="000D41F9">
      <w:pPr>
        <w:pStyle w:val="Titolo3"/>
      </w:pPr>
      <w:r>
        <w:t>Rapporti di prova</w:t>
      </w:r>
    </w:p>
    <w:p w14:paraId="729C67E5" w14:textId="77777777" w:rsidR="00BB4CA7" w:rsidRDefault="00BB4CA7" w:rsidP="00BB4CA7">
      <w:r>
        <w:t xml:space="preserve">Il rapporto di prova è il documento finale che riepiloga sia il campionamento che l’analisi che è stata condotta. Il rapporto di prova si forma a partire dalla scelta delle modalità. </w:t>
      </w:r>
    </w:p>
    <w:p w14:paraId="2DD344A6" w14:textId="2483C78A" w:rsidR="000C1816" w:rsidRDefault="00BB4CA7" w:rsidP="00BB4CA7">
      <w:r>
        <w:t xml:space="preserve">Le informazioni all’interno vengono recuperate automaticamente ad eccezione delle informative di </w:t>
      </w:r>
      <w:r w:rsidR="00D6632C">
        <w:t>legge(appendice</w:t>
      </w:r>
      <w:r>
        <w:t xml:space="preserve">) </w:t>
      </w:r>
      <w:r w:rsidR="000C1816">
        <w:t xml:space="preserve">che sono scelte dall’operatore. </w:t>
      </w:r>
    </w:p>
    <w:p w14:paraId="53C26741" w14:textId="65E0C9D8" w:rsidR="000C1816" w:rsidRDefault="000C1816" w:rsidP="00BB4CA7">
      <w:r>
        <w:t xml:space="preserve">Il tecnico può richiedere l’approvazione al direttore e al responsabile del laboratorio, il quale può approvare il documento ed essere pronto per la sua </w:t>
      </w:r>
      <w:r w:rsidR="00D6632C">
        <w:t>spedizione</w:t>
      </w:r>
      <w:r>
        <w:t xml:space="preserve"> al cliente o rifiutarlo, indicandone il motivo e il documento tornerà ai tecnici, che dopo le dovute modifiche, potranno richiedere nuovamente l’approvazione.</w:t>
      </w:r>
    </w:p>
    <w:p w14:paraId="51FD2C90" w14:textId="77777777" w:rsidR="000C1816" w:rsidRDefault="000C1816" w:rsidP="00BB4CA7">
      <w:r>
        <w:t>La spedizione viene condotta dal responsabile dei sistemi informativi che una volta effettuata blocca tutte le informazioni relative al rapporto di prova.</w:t>
      </w:r>
    </w:p>
    <w:p w14:paraId="31C28017" w14:textId="3DDC66BD" w:rsidR="00244199" w:rsidRDefault="000C1816" w:rsidP="00BB4CA7">
      <w:r>
        <w:t>Può capitare, successivamente al blocco, si notino degli errori, non è possibile sbloccare il documento. Ma è possibile crearne una copia correttiva, che sblocca le informazion</w:t>
      </w:r>
      <w:r w:rsidR="00D6632C">
        <w:t>i</w:t>
      </w:r>
      <w:r>
        <w:t xml:space="preserve"> prima bloccate</w:t>
      </w:r>
      <w:r w:rsidR="00D6632C">
        <w:t xml:space="preserve">, </w:t>
      </w:r>
      <w:proofErr w:type="spellStart"/>
      <w:r w:rsidR="00D6632C">
        <w:t>apparte</w:t>
      </w:r>
      <w:proofErr w:type="spellEnd"/>
      <w:r w:rsidR="00D6632C">
        <w:t xml:space="preserve"> il rapporto di prova dal </w:t>
      </w:r>
      <w:r w:rsidR="00D6632C" w:rsidRPr="00D6632C">
        <w:t>quale</w:t>
      </w:r>
      <w:r w:rsidR="00D6632C">
        <w:t xml:space="preserve"> viene creato</w:t>
      </w:r>
      <w:r w:rsidR="00863DD1">
        <w:br/>
        <w:t xml:space="preserve"> </w:t>
      </w:r>
    </w:p>
    <w:p w14:paraId="7A7840D7" w14:textId="77777777" w:rsidR="00D6632C" w:rsidRDefault="00D6632C" w:rsidP="00BB4CA7"/>
    <w:p w14:paraId="5E2A5B58" w14:textId="1D924425" w:rsidR="00D6632C" w:rsidRDefault="00D6632C" w:rsidP="00D6632C">
      <w:pPr>
        <w:pStyle w:val="Titolo2"/>
      </w:pPr>
      <w:r>
        <w:t>TODO: LOG</w:t>
      </w:r>
    </w:p>
    <w:p w14:paraId="5C6267EF" w14:textId="77777777" w:rsidR="00D6632C" w:rsidRPr="00244199" w:rsidRDefault="00D6632C" w:rsidP="00BB4CA7"/>
    <w:sectPr w:rsidR="00D6632C" w:rsidRPr="0024419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98D"/>
    <w:multiLevelType w:val="hybridMultilevel"/>
    <w:tmpl w:val="FEAA54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DF05915"/>
    <w:multiLevelType w:val="hybridMultilevel"/>
    <w:tmpl w:val="A6EE9A6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A2638CE"/>
    <w:multiLevelType w:val="multilevel"/>
    <w:tmpl w:val="C93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41EE9"/>
    <w:multiLevelType w:val="multilevel"/>
    <w:tmpl w:val="242C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93C04"/>
    <w:multiLevelType w:val="multilevel"/>
    <w:tmpl w:val="67F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552EF"/>
    <w:multiLevelType w:val="hybridMultilevel"/>
    <w:tmpl w:val="706674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D8D708D"/>
    <w:multiLevelType w:val="hybridMultilevel"/>
    <w:tmpl w:val="D114722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FBB6EE7"/>
    <w:multiLevelType w:val="multilevel"/>
    <w:tmpl w:val="DE2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405235">
    <w:abstractNumId w:val="5"/>
  </w:num>
  <w:num w:numId="2" w16cid:durableId="206575433">
    <w:abstractNumId w:val="2"/>
  </w:num>
  <w:num w:numId="3" w16cid:durableId="51008602">
    <w:abstractNumId w:val="7"/>
  </w:num>
  <w:num w:numId="4" w16cid:durableId="1632900915">
    <w:abstractNumId w:val="4"/>
  </w:num>
  <w:num w:numId="5" w16cid:durableId="1483086268">
    <w:abstractNumId w:val="3"/>
  </w:num>
  <w:num w:numId="6" w16cid:durableId="1086153247">
    <w:abstractNumId w:val="1"/>
  </w:num>
  <w:num w:numId="7" w16cid:durableId="1903327519">
    <w:abstractNumId w:val="6"/>
  </w:num>
  <w:num w:numId="8" w16cid:durableId="202586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B1"/>
    <w:rsid w:val="000524AB"/>
    <w:rsid w:val="000C1816"/>
    <w:rsid w:val="000D41F9"/>
    <w:rsid w:val="0015558B"/>
    <w:rsid w:val="00244199"/>
    <w:rsid w:val="00255378"/>
    <w:rsid w:val="003824BE"/>
    <w:rsid w:val="003A720D"/>
    <w:rsid w:val="003E2910"/>
    <w:rsid w:val="004A561A"/>
    <w:rsid w:val="004D1A2A"/>
    <w:rsid w:val="00547B23"/>
    <w:rsid w:val="005536FC"/>
    <w:rsid w:val="00616BCA"/>
    <w:rsid w:val="006E2734"/>
    <w:rsid w:val="007751B1"/>
    <w:rsid w:val="00797933"/>
    <w:rsid w:val="007A1674"/>
    <w:rsid w:val="00817A82"/>
    <w:rsid w:val="008508E8"/>
    <w:rsid w:val="00863DD1"/>
    <w:rsid w:val="00883823"/>
    <w:rsid w:val="00925100"/>
    <w:rsid w:val="00975251"/>
    <w:rsid w:val="009B6B21"/>
    <w:rsid w:val="00AD2D40"/>
    <w:rsid w:val="00AD377E"/>
    <w:rsid w:val="00B15938"/>
    <w:rsid w:val="00BB4CA7"/>
    <w:rsid w:val="00BC2A50"/>
    <w:rsid w:val="00CB2ECE"/>
    <w:rsid w:val="00D6632C"/>
    <w:rsid w:val="00D865FE"/>
    <w:rsid w:val="00ED51E1"/>
    <w:rsid w:val="00EE6687"/>
    <w:rsid w:val="00EE6AEB"/>
    <w:rsid w:val="00F218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4CF8"/>
  <w15:chartTrackingRefBased/>
  <w15:docId w15:val="{6EF19229-5BA8-4BC6-9165-1EAE2D6B2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B6B21"/>
  </w:style>
  <w:style w:type="paragraph" w:styleId="Titolo1">
    <w:name w:val="heading 1"/>
    <w:basedOn w:val="Normale"/>
    <w:next w:val="Normale"/>
    <w:link w:val="Titolo1Carattere"/>
    <w:uiPriority w:val="9"/>
    <w:qFormat/>
    <w:rsid w:val="007751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7751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7751B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751B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751B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751B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751B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751B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751B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751B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7751B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7751B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751B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751B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751B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751B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751B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751B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75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751B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751B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751B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751B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751B1"/>
    <w:rPr>
      <w:i/>
      <w:iCs/>
      <w:color w:val="404040" w:themeColor="text1" w:themeTint="BF"/>
    </w:rPr>
  </w:style>
  <w:style w:type="paragraph" w:styleId="Paragrafoelenco">
    <w:name w:val="List Paragraph"/>
    <w:basedOn w:val="Normale"/>
    <w:uiPriority w:val="34"/>
    <w:qFormat/>
    <w:rsid w:val="007751B1"/>
    <w:pPr>
      <w:ind w:left="720"/>
      <w:contextualSpacing/>
    </w:pPr>
  </w:style>
  <w:style w:type="character" w:styleId="Enfasiintensa">
    <w:name w:val="Intense Emphasis"/>
    <w:basedOn w:val="Carpredefinitoparagrafo"/>
    <w:uiPriority w:val="21"/>
    <w:qFormat/>
    <w:rsid w:val="007751B1"/>
    <w:rPr>
      <w:i/>
      <w:iCs/>
      <w:color w:val="2F5496" w:themeColor="accent1" w:themeShade="BF"/>
    </w:rPr>
  </w:style>
  <w:style w:type="paragraph" w:styleId="Citazioneintensa">
    <w:name w:val="Intense Quote"/>
    <w:basedOn w:val="Normale"/>
    <w:next w:val="Normale"/>
    <w:link w:val="CitazioneintensaCarattere"/>
    <w:uiPriority w:val="30"/>
    <w:qFormat/>
    <w:rsid w:val="007751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751B1"/>
    <w:rPr>
      <w:i/>
      <w:iCs/>
      <w:color w:val="2F5496" w:themeColor="accent1" w:themeShade="BF"/>
    </w:rPr>
  </w:style>
  <w:style w:type="character" w:styleId="Riferimentointenso">
    <w:name w:val="Intense Reference"/>
    <w:basedOn w:val="Carpredefinitoparagrafo"/>
    <w:uiPriority w:val="32"/>
    <w:qFormat/>
    <w:rsid w:val="007751B1"/>
    <w:rPr>
      <w:b/>
      <w:bCs/>
      <w:smallCaps/>
      <w:color w:val="2F5496" w:themeColor="accent1" w:themeShade="BF"/>
      <w:spacing w:val="5"/>
    </w:rPr>
  </w:style>
  <w:style w:type="character" w:styleId="Collegamentoipertestuale">
    <w:name w:val="Hyperlink"/>
    <w:basedOn w:val="Carpredefinitoparagrafo"/>
    <w:uiPriority w:val="99"/>
    <w:unhideWhenUsed/>
    <w:rsid w:val="00244199"/>
    <w:rPr>
      <w:color w:val="0563C1" w:themeColor="hyperlink"/>
      <w:u w:val="single"/>
    </w:rPr>
  </w:style>
  <w:style w:type="character" w:styleId="Menzionenonrisolta">
    <w:name w:val="Unresolved Mention"/>
    <w:basedOn w:val="Carpredefinitoparagrafo"/>
    <w:uiPriority w:val="99"/>
    <w:semiHidden/>
    <w:unhideWhenUsed/>
    <w:rsid w:val="00244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3</Pages>
  <Words>1413</Words>
  <Characters>8057</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2026-05-21T11:55:00Z</dcterms:created>
  <dcterms:modified xsi:type="dcterms:W3CDTF">2026-06-10T10:41:00Z</dcterms:modified>
</cp:coreProperties>
</file>