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0B7445" w14:textId="117E4DB0" w:rsidR="003824BE" w:rsidRDefault="00244199" w:rsidP="00244199">
      <w:pPr>
        <w:pStyle w:val="Titolo1"/>
      </w:pPr>
      <w:r>
        <w:t>Progetto</w:t>
      </w:r>
    </w:p>
    <w:p w14:paraId="09EBBB15" w14:textId="5D528614" w:rsidR="00863DD1" w:rsidRDefault="00863DD1" w:rsidP="00863DD1">
      <w:pPr>
        <w:pStyle w:val="Titolo2"/>
      </w:pPr>
      <w:r>
        <w:t>CIAS FERRARA</w:t>
      </w:r>
    </w:p>
    <w:p w14:paraId="74527C8F" w14:textId="77777777" w:rsidR="00ED51E1" w:rsidRDefault="00ED51E1" w:rsidP="00ED51E1">
      <w:pPr>
        <w:rPr>
          <w:u w:val="single"/>
        </w:rPr>
      </w:pPr>
      <w:r w:rsidRPr="00925100">
        <w:t>Il progetto è stato commissionato dal CIAS (Centro ricerche Inquinamento Fisico Chimico Microbiologico Ambienti Alta Sterilità) dell'Università degli Studi di Ferrara.</w:t>
      </w:r>
      <w:r>
        <w:t xml:space="preserve">  Il Centro è stato fondato nel 2005 come struttura di ricerca interna del Dipartimento di Architettura. </w:t>
      </w:r>
      <w:r w:rsidRPr="00925100">
        <w:t xml:space="preserve">Nel 2013, è stato trasformato in Centro Interdipartimentale </w:t>
      </w:r>
      <w:r w:rsidRPr="00EE6AEB">
        <w:t>dell'Ateneo ed attualmente coinvolge il Dipartimento di Architettura e il Dipartimento di Scienze dell’Ambiente e della Prevenzione, che dal 2024 ne costituisce il dipartimento di afferenza.</w:t>
      </w:r>
      <w:r>
        <w:t xml:space="preserve"> </w:t>
      </w:r>
    </w:p>
    <w:p w14:paraId="1B816181" w14:textId="77777777" w:rsidR="00ED51E1" w:rsidRDefault="00ED51E1" w:rsidP="00ED51E1">
      <w:r w:rsidRPr="00547B23">
        <w:t>Il CIAS integra ricerca scientifica, attività diagnostica e ingegneria impiantistica per la gestione del controllo della contaminazione e l’efficienza energetica in ambienti confinati complessi. Le sue attività si articolano in quattro principali macroaree:</w:t>
      </w:r>
    </w:p>
    <w:p w14:paraId="4D86468A" w14:textId="77777777" w:rsidR="00ED51E1" w:rsidRPr="00EE6AEB" w:rsidRDefault="00ED51E1" w:rsidP="00ED51E1">
      <w:pPr>
        <w:pStyle w:val="Paragrafoelenco"/>
        <w:numPr>
          <w:ilvl w:val="0"/>
          <w:numId w:val="8"/>
        </w:numPr>
      </w:pPr>
      <w:proofErr w:type="spellStart"/>
      <w:r w:rsidRPr="00EE6AEB">
        <w:rPr>
          <w:b/>
          <w:bCs/>
        </w:rPr>
        <w:t>Pollution</w:t>
      </w:r>
      <w:proofErr w:type="spellEnd"/>
      <w:r w:rsidRPr="00EE6AEB">
        <w:rPr>
          <w:b/>
          <w:bCs/>
        </w:rPr>
        <w:t xml:space="preserve"> &amp; Health:</w:t>
      </w:r>
      <w:r w:rsidRPr="00EE6AEB">
        <w:t xml:space="preserve"> analisi e interventi sui contaminanti di tipo fisico, chimico e microbiologico, aerei e di superficie, e dei loro effetti sulla salute umana e animale. Include la validazione sperimentale di protocolli di sanificazione clinica o industriale (aree GMP) e lo sviluppo di sistemi </w:t>
      </w:r>
      <w:proofErr w:type="spellStart"/>
      <w:r w:rsidRPr="00EE6AEB">
        <w:t>bio-based</w:t>
      </w:r>
      <w:proofErr w:type="spellEnd"/>
      <w:r w:rsidRPr="00EE6AEB">
        <w:t xml:space="preserve"> per il contrasto delle Infezioni Correlate all'Assistenza (ICA).</w:t>
      </w:r>
    </w:p>
    <w:p w14:paraId="334CEA36" w14:textId="77777777" w:rsidR="00ED51E1" w:rsidRPr="00EE6AEB" w:rsidRDefault="00ED51E1" w:rsidP="00ED51E1">
      <w:pPr>
        <w:pStyle w:val="Paragrafoelenco"/>
        <w:numPr>
          <w:ilvl w:val="0"/>
          <w:numId w:val="8"/>
        </w:numPr>
      </w:pPr>
      <w:r w:rsidRPr="00EE6AEB">
        <w:rPr>
          <w:b/>
          <w:bCs/>
        </w:rPr>
        <w:t>Environment &amp; Energy:</w:t>
      </w:r>
      <w:r w:rsidRPr="00EE6AEB">
        <w:t xml:space="preserve"> analisi ambientali finalizzate al miglioramento del comfort, della qualità dell'aria e dell'efficienza impiantistica ed energetica, con particolare riferimento ai requisiti tecnici e strutturali di ambiti ad elevata sterilità come blocchi operatori e laboratori.</w:t>
      </w:r>
    </w:p>
    <w:p w14:paraId="28C1D76F" w14:textId="77777777" w:rsidR="00ED51E1" w:rsidRPr="00EE6AEB" w:rsidRDefault="00ED51E1" w:rsidP="00ED51E1">
      <w:pPr>
        <w:pStyle w:val="Paragrafoelenco"/>
        <w:numPr>
          <w:ilvl w:val="0"/>
          <w:numId w:val="8"/>
        </w:numPr>
      </w:pPr>
      <w:r w:rsidRPr="00EE6AEB">
        <w:rPr>
          <w:b/>
          <w:bCs/>
        </w:rPr>
        <w:t>Heritage:</w:t>
      </w:r>
      <w:r w:rsidRPr="00EE6AEB">
        <w:t xml:space="preserve"> analisi dei fenomeni di degrado biologico, fisico e chimico di beni di interesse storico-artistico finalizzate alla loro conservazione preventiva, unitamente alla progettazione di impianti idonei alla tutela degli spazi espositivi e museali.</w:t>
      </w:r>
    </w:p>
    <w:p w14:paraId="2F72918C" w14:textId="77777777" w:rsidR="00ED51E1" w:rsidRDefault="00ED51E1" w:rsidP="00ED51E1">
      <w:pPr>
        <w:pStyle w:val="Paragrafoelenco"/>
        <w:numPr>
          <w:ilvl w:val="0"/>
          <w:numId w:val="8"/>
        </w:numPr>
      </w:pPr>
      <w:proofErr w:type="spellStart"/>
      <w:r w:rsidRPr="00EE6AEB">
        <w:rPr>
          <w:b/>
          <w:bCs/>
        </w:rPr>
        <w:t>Safety</w:t>
      </w:r>
      <w:proofErr w:type="spellEnd"/>
      <w:r w:rsidRPr="00EE6AEB">
        <w:rPr>
          <w:b/>
          <w:bCs/>
        </w:rPr>
        <w:t xml:space="preserve"> &amp; Training:</w:t>
      </w:r>
      <w:r w:rsidRPr="00EE6AEB">
        <w:t xml:space="preserve"> ricerca applicata nel settore della sicurezza sul lavoro e della prevenzione incendi, accoppiata ad attività di formazione specialistica e aggiornamento professionale su procedure di biosicurezza e tecniche di analisi microbiologica.</w:t>
      </w:r>
    </w:p>
    <w:p w14:paraId="57AEEDCA" w14:textId="77777777" w:rsidR="009B6B21" w:rsidRPr="00EE6AEB" w:rsidRDefault="009B6B21" w:rsidP="009B6B21">
      <w:r w:rsidRPr="009B6B21">
        <w:t xml:space="preserve">Le attività di campionamento e le analisi di laboratorio sono condotte in conformità a metodi ufficiali accreditati, seguendo rigorosi protocolli standardizzati. Le procedure operative si articolano in due fasi sequenziali e interdipendenti: i metodi di campionamento definiscono le operazioni sul campo e la strumentazione necessaria per il prelievo rappresentativo della matrice ambientale, come stabilito, per esempio, dalla norma UNI EN 13098 per la pianificazione del campionamento di </w:t>
      </w:r>
      <w:proofErr w:type="spellStart"/>
      <w:r w:rsidRPr="009B6B21">
        <w:t>bioaerosol</w:t>
      </w:r>
      <w:proofErr w:type="spellEnd"/>
      <w:r w:rsidRPr="009B6B21">
        <w:t xml:space="preserve">; i metodi di prova stabiliscono i protocolli analitici e microbiologici di laboratorio per la determinazione e quantificazione della contaminazione, in conformità a standard come la norma UNI EN ISO 4833 per la conta dei microrganismi vivi. </w:t>
      </w:r>
      <w:r w:rsidRPr="00ED51E1">
        <w:t>In laboratorio, queste fasi costituiscono un ciclo operativo unico, validato formalmente congiuntamente dai due standard (</w:t>
      </w:r>
      <m:oMath>
        <m:r>
          <m:rPr>
            <m:nor/>
          </m:rPr>
          <m:t>UNI EN 13098</m:t>
        </m:r>
        <m:r>
          <w:rPr>
            <w:rFonts w:ascii="Cambria Math" w:hAnsi="Cambria Math"/>
          </w:rPr>
          <m:t>+</m:t>
        </m:r>
        <m:r>
          <m:rPr>
            <m:nor/>
          </m:rPr>
          <m:t>UNI EN ISO 4833</m:t>
        </m:r>
      </m:oMath>
      <w:r w:rsidRPr="00ED51E1">
        <w:t>). La conformità delle procedure e la competenza tecnica della struttura sono attestati dall’accreditamento di Accredia (Ente Italiano di Accreditamento), che ne garantisce l’affidabilità tramite verifiche ispettive e audit periodici.</w:t>
      </w:r>
    </w:p>
    <w:p w14:paraId="310BADCF" w14:textId="77777777" w:rsidR="00863DD1" w:rsidRDefault="00863DD1" w:rsidP="00863DD1">
      <w:pPr>
        <w:pStyle w:val="Titolo2"/>
      </w:pPr>
    </w:p>
    <w:p w14:paraId="1239D862" w14:textId="77777777" w:rsidR="00B15938" w:rsidRDefault="00B15938" w:rsidP="00863DD1">
      <w:pPr>
        <w:pStyle w:val="Titolo2"/>
      </w:pPr>
      <w:r>
        <w:t>ENVASS</w:t>
      </w:r>
    </w:p>
    <w:p w14:paraId="1700DE77" w14:textId="53CE87B0" w:rsidR="007A1674" w:rsidRPr="007A1674" w:rsidRDefault="007A1674" w:rsidP="007A1674">
      <w:r>
        <w:t xml:space="preserve">Il progetto ENVASS nasce e si sviluppa all’interno del laboratorio CIAS per rispondere alla necessità di creare un sistema gestionale centralizzato capace di archiviare e tracciare e gestire tutte le informazioni riguardanti i campioni analizzati. Nella sua prima versione, il sistema si presentava come un’interfaccia web statica, la cui funzione principale era la catalogazione manuale dei singoli campioni analizzati con possibilità di allegare la foto. </w:t>
      </w:r>
      <w:r w:rsidR="000524AB">
        <w:t>A seguire</w:t>
      </w:r>
      <w:r>
        <w:t xml:space="preserve"> era poi possibile estrarre dei dati </w:t>
      </w:r>
      <w:r w:rsidR="000524AB" w:rsidRPr="000524AB">
        <w:t>filtri di ricerca basati su variabili chiave come il progetto di riferimento, la struttura ospitante e la cronologia temporale delle rilevazioni.</w:t>
      </w:r>
    </w:p>
    <w:p w14:paraId="1BA2098F" w14:textId="531EE306" w:rsidR="000524AB" w:rsidRDefault="000524AB" w:rsidP="00B15938">
      <w:r w:rsidRPr="000524AB">
        <w:lastRenderedPageBreak/>
        <w:t>Successivamente, in risposta alle crescenti esigenze di digitalizzazione e ai rigorosi requisiti di conformità e tracciabilità imposti dall’ente nazionale di accreditamento ACCREDIA, si è resa necessaria l’evoluzione della piattaforma verso un’architettura più moderna e integrata, capace di estendere il controllo informatico a tutte le fasi della filiera operativa e procedurale del laboratorio. </w:t>
      </w:r>
      <w:r>
        <w:t xml:space="preserve"> </w:t>
      </w:r>
    </w:p>
    <w:p w14:paraId="6A8E2804" w14:textId="25ECD335" w:rsidR="000524AB" w:rsidRDefault="000524AB" w:rsidP="00B15938">
      <w:r w:rsidRPr="000524AB">
        <w:t>Per realizzare questa transizione tecnologica, il CIAS ha affidato al laboratorio ACLAI la progettazione e lo sviluppo di una versione avanzata del sistema preesistente.</w:t>
      </w:r>
    </w:p>
    <w:p w14:paraId="1B91A202" w14:textId="0268FA95" w:rsidR="000524AB" w:rsidRDefault="000524AB" w:rsidP="00B15938">
      <w:r w:rsidRPr="000524AB">
        <w:t>L'analisi approfondita dell'intero flusso di lavoro e delle necessità normative ha permesso di mappare i processi core e di ingegnerizzare un'architettura software strutturata in sei macro-blocchi principali.</w:t>
      </w:r>
    </w:p>
    <w:p w14:paraId="57BFF0A6" w14:textId="2A5ED452" w:rsidR="000D41F9" w:rsidRDefault="000D41F9" w:rsidP="000D41F9">
      <w:pPr>
        <w:pStyle w:val="Titolo3"/>
      </w:pPr>
      <w:r>
        <w:t>Anagrafica</w:t>
      </w:r>
    </w:p>
    <w:p w14:paraId="1D411DFE" w14:textId="2B4196B3" w:rsidR="000D41F9" w:rsidRDefault="000D41F9" w:rsidP="000D41F9">
      <w:r>
        <w:t>Contiene tutte le informazioni che riguardano, committenti, strutture, attività, partizioni, utenti.</w:t>
      </w:r>
    </w:p>
    <w:p w14:paraId="26626F15" w14:textId="6A4C1A39" w:rsidR="000D41F9" w:rsidRDefault="000D41F9" w:rsidP="000D41F9">
      <w:r>
        <w:t xml:space="preserve">I committenti sono i clienti, coloro che vengono a richiedere il servizio e vengono registrate le informazioni di contatto, come telefono, </w:t>
      </w:r>
      <w:proofErr w:type="gramStart"/>
      <w:r>
        <w:t>email</w:t>
      </w:r>
      <w:proofErr w:type="gramEnd"/>
      <w:r>
        <w:t>, indirizzo.</w:t>
      </w:r>
    </w:p>
    <w:p w14:paraId="2BF91048" w14:textId="08991E1B" w:rsidR="000D41F9" w:rsidRDefault="000D41F9" w:rsidP="000D41F9">
      <w:r>
        <w:t>Le strutture, sono gli edifici, e le partizioni sono le stanze, nel quale vengono condotti i campionamenti.</w:t>
      </w:r>
    </w:p>
    <w:p w14:paraId="1BC89D78" w14:textId="78881C76" w:rsidR="000D41F9" w:rsidRDefault="000D41F9" w:rsidP="000D41F9">
      <w:proofErr w:type="gramStart"/>
      <w:r>
        <w:t>Le attività,</w:t>
      </w:r>
      <w:proofErr w:type="gramEnd"/>
      <w:r>
        <w:t xml:space="preserve"> sono il nome che viene definito per definire che funziona ha il campionamento. (da rivedere) </w:t>
      </w:r>
    </w:p>
    <w:p w14:paraId="04F5C7AB" w14:textId="0AC40DA0" w:rsidR="000D41F9" w:rsidRPr="000D41F9" w:rsidRDefault="000D41F9" w:rsidP="000D41F9">
      <w:r>
        <w:t xml:space="preserve">Gli utenti sono coloro che possono accedere al sistema e il tipo di diritti che hanno all’interno di esso. </w:t>
      </w:r>
    </w:p>
    <w:p w14:paraId="4E76CB85" w14:textId="77777777" w:rsidR="000D41F9" w:rsidRDefault="000D41F9" w:rsidP="000D41F9">
      <w:pPr>
        <w:pStyle w:val="Titolo3"/>
      </w:pPr>
      <w:r>
        <w:t>Liste</w:t>
      </w:r>
    </w:p>
    <w:p w14:paraId="3E426D6E" w14:textId="156CECA1" w:rsidR="00616BCA" w:rsidRDefault="000D41F9" w:rsidP="000D41F9">
      <w:r>
        <w:t xml:space="preserve">Le liste sono </w:t>
      </w:r>
      <w:r w:rsidR="00616BCA">
        <w:t xml:space="preserve">un insieme di oggetti </w:t>
      </w:r>
      <w:proofErr w:type="spellStart"/>
      <w:r w:rsidR="00616BCA">
        <w:t>etereogeni</w:t>
      </w:r>
      <w:proofErr w:type="spellEnd"/>
      <w:r w:rsidR="00616BCA">
        <w:t xml:space="preserve"> che rappresentano parti fondamentali per la descrizione del progetto, come strumenti di campionamento, antibiotici, piastre, punti di campionamento, tipologia stanza, </w:t>
      </w:r>
      <w:proofErr w:type="spellStart"/>
      <w:r w:rsidR="00616BCA">
        <w:t>etc</w:t>
      </w:r>
      <w:proofErr w:type="spellEnd"/>
      <w:r w:rsidR="00616BCA">
        <w:t>…</w:t>
      </w:r>
    </w:p>
    <w:p w14:paraId="42A26600" w14:textId="17B6B20A" w:rsidR="00616BCA" w:rsidRDefault="00616BCA" w:rsidP="000D41F9">
      <w:r>
        <w:t>I punti sono …</w:t>
      </w:r>
    </w:p>
    <w:p w14:paraId="7255507B" w14:textId="615766C9" w:rsidR="00616BCA" w:rsidRDefault="00616BCA" w:rsidP="000D41F9">
      <w:r>
        <w:t>Le piastre sono …</w:t>
      </w:r>
    </w:p>
    <w:p w14:paraId="6DB13C1A" w14:textId="6A2E5555" w:rsidR="00616BCA" w:rsidRPr="000D41F9" w:rsidRDefault="00616BCA" w:rsidP="000D41F9">
      <w:r>
        <w:t>Descrivere cosa mi serve più tardi</w:t>
      </w:r>
    </w:p>
    <w:p w14:paraId="120299A2" w14:textId="77777777" w:rsidR="000D41F9" w:rsidRDefault="000D41F9" w:rsidP="000D41F9">
      <w:pPr>
        <w:pStyle w:val="Titolo3"/>
      </w:pPr>
      <w:r>
        <w:t>Verbali</w:t>
      </w:r>
    </w:p>
    <w:p w14:paraId="77816E94" w14:textId="1989B250" w:rsidR="00616BCA" w:rsidRDefault="00616BCA" w:rsidP="00616BCA">
      <w:r>
        <w:t>Il verbale rappresenta il documento che accompagna il tecnico durante il campionamento. Inizialmente questo documento descrive l’anagrafica, riportando tutte le informazioni necessarie al raggiungimento del luogo di campionamento e poi un riepilogo di questo campionamento.</w:t>
      </w:r>
    </w:p>
    <w:p w14:paraId="5C6CE418" w14:textId="4BD6DD23" w:rsidR="00616BCA" w:rsidRDefault="00616BCA" w:rsidP="00616BCA">
      <w:r>
        <w:t xml:space="preserve">Il verbale viene creato a partire da una campagna di campionamento, che riporta l’informazione riguardo al committente, l’attività e la struttura. </w:t>
      </w:r>
    </w:p>
    <w:p w14:paraId="7C95E673" w14:textId="47C40609" w:rsidR="00AD377E" w:rsidRDefault="00AD377E" w:rsidP="00616BCA">
      <w:r>
        <w:t xml:space="preserve">Una campagna può avere molteplici verbali, ma un verbale appartiene solo ad ‘una campagna. Quindi una volta definita la campagna, aggiungendo la partizione e l’area di partizione e la tipologia di </w:t>
      </w:r>
      <w:proofErr w:type="gramStart"/>
      <w:r>
        <w:t>verbale(</w:t>
      </w:r>
      <w:proofErr w:type="gramEnd"/>
      <w:r>
        <w:t>interno o esterno) si crea il verbale.</w:t>
      </w:r>
    </w:p>
    <w:p w14:paraId="22809DA2" w14:textId="1A790138" w:rsidR="00616BCA" w:rsidRDefault="00AD377E" w:rsidP="00616BCA">
      <w:r>
        <w:t xml:space="preserve">La tipologia di verbale definisce se è il laboratorio a condurre il campionamento, in quello interno, o se è un ente esterno che poi consegna i campioni al laboratorio, esterno. </w:t>
      </w:r>
    </w:p>
    <w:p w14:paraId="75676898" w14:textId="77777777" w:rsidR="00255378" w:rsidRDefault="00AD377E" w:rsidP="00616BCA">
      <w:r>
        <w:t xml:space="preserve">Indipendentemente dalla tipologia di verbale le informazioni si dividono in </w:t>
      </w:r>
      <w:proofErr w:type="gramStart"/>
      <w:r>
        <w:t>3</w:t>
      </w:r>
      <w:proofErr w:type="gramEnd"/>
      <w:r>
        <w:t xml:space="preserve"> categorie</w:t>
      </w:r>
      <w:r w:rsidR="00255378">
        <w:t>.</w:t>
      </w:r>
    </w:p>
    <w:p w14:paraId="0E14B995" w14:textId="593209FE" w:rsidR="00255378" w:rsidRDefault="00255378" w:rsidP="00255378">
      <w:pPr>
        <w:pStyle w:val="Paragrafoelenco"/>
        <w:numPr>
          <w:ilvl w:val="0"/>
          <w:numId w:val="1"/>
        </w:numPr>
      </w:pPr>
      <w:r>
        <w:t>Stanze, modalità e punto di campionamento che definisce dove, come e cosa campionano nello specifico</w:t>
      </w:r>
    </w:p>
    <w:p w14:paraId="25EB5212" w14:textId="77777777" w:rsidR="00255378" w:rsidRDefault="00255378" w:rsidP="00255378">
      <w:pPr>
        <w:pStyle w:val="Paragrafoelenco"/>
        <w:numPr>
          <w:ilvl w:val="0"/>
          <w:numId w:val="1"/>
        </w:numPr>
      </w:pPr>
      <w:r>
        <w:t>Strumenti e piantina del luogo</w:t>
      </w:r>
    </w:p>
    <w:p w14:paraId="5625ECD9" w14:textId="6457C92D" w:rsidR="00AD377E" w:rsidRDefault="00255378" w:rsidP="00255378">
      <w:pPr>
        <w:pStyle w:val="Paragrafoelenco"/>
        <w:numPr>
          <w:ilvl w:val="0"/>
          <w:numId w:val="1"/>
        </w:numPr>
      </w:pPr>
      <w:r>
        <w:lastRenderedPageBreak/>
        <w:t>Accettazione che viene compilata al ritorno dal campionamento se intorno, o alla consegna dei compiano da parte dell’ente esterno, che riporta dettagli del campionamento e del trasporto appena svolto.</w:t>
      </w:r>
      <w:r w:rsidR="00AD377E">
        <w:t xml:space="preserve"> </w:t>
      </w:r>
    </w:p>
    <w:p w14:paraId="68FD0D24" w14:textId="1EF3951A" w:rsidR="00255378" w:rsidRPr="00616BCA" w:rsidRDefault="00255378" w:rsidP="00255378">
      <w:r>
        <w:t xml:space="preserve">Una volta accertati della correttezza delle informazioni, i campioni vengono automaticamente generati e </w:t>
      </w:r>
      <w:r w:rsidR="00BB4CA7">
        <w:t>inserite nella sezione dell’analisi</w:t>
      </w:r>
    </w:p>
    <w:p w14:paraId="35BD50C0" w14:textId="5BC764C1" w:rsidR="00BB4CA7" w:rsidRDefault="000D41F9" w:rsidP="000D41F9">
      <w:pPr>
        <w:pStyle w:val="Titolo3"/>
      </w:pPr>
      <w:r>
        <w:t>Analisi</w:t>
      </w:r>
    </w:p>
    <w:p w14:paraId="2490E8F7" w14:textId="4970D0B5" w:rsidR="00BB4CA7" w:rsidRDefault="00BB4CA7" w:rsidP="00BB4CA7">
      <w:r>
        <w:t xml:space="preserve">Per essere analizzati i campioni devono essere sottoposti ad un periodo di incubazione nel quale si permette alle colonie di batteri di crescere, per poi venire quantificati. Il periodo dipende dal metodo di prova che si sta seguendo. </w:t>
      </w:r>
    </w:p>
    <w:p w14:paraId="24AEC3DC" w14:textId="4698F29B" w:rsidR="00BB4CA7" w:rsidRDefault="00BB4CA7" w:rsidP="00BB4CA7">
      <w:r>
        <w:t>Una volta terminato si procede alla conta delle colonie cresciute, del tipo di batterio, inserimento delle foto e del tecnico che si è occupato delle analisi.</w:t>
      </w:r>
    </w:p>
    <w:p w14:paraId="13B20CD3" w14:textId="30A2B7DF" w:rsidR="00BB4CA7" w:rsidRPr="00BB4CA7" w:rsidRDefault="00BB4CA7" w:rsidP="00BB4CA7">
      <w:r>
        <w:t xml:space="preserve">Come ulteriori test vengono eseguiti la speciazione (da definire) e la presenza di batteri </w:t>
      </w:r>
      <w:proofErr w:type="spellStart"/>
      <w:r>
        <w:t>gram</w:t>
      </w:r>
      <w:proofErr w:type="spellEnd"/>
      <w:r>
        <w:t xml:space="preserve"> (da spiegare)</w:t>
      </w:r>
    </w:p>
    <w:p w14:paraId="2F7E6792" w14:textId="77777777" w:rsidR="00BB4CA7" w:rsidRDefault="000D41F9" w:rsidP="000D41F9">
      <w:pPr>
        <w:pStyle w:val="Titolo3"/>
      </w:pPr>
      <w:r>
        <w:t>Rapporti di prova</w:t>
      </w:r>
    </w:p>
    <w:p w14:paraId="729C67E5" w14:textId="77777777" w:rsidR="00BB4CA7" w:rsidRDefault="00BB4CA7" w:rsidP="00BB4CA7">
      <w:r>
        <w:t xml:space="preserve">Il rapporto di prova è il documento finale che riepiloga sia il campionamento che l’analisi che è stata condotta. Il rapporto di prova si forma a partire dalla scelta delle modalità. </w:t>
      </w:r>
    </w:p>
    <w:p w14:paraId="2DD344A6" w14:textId="2483C78A" w:rsidR="000C1816" w:rsidRDefault="00BB4CA7" w:rsidP="00BB4CA7">
      <w:r>
        <w:t xml:space="preserve">Le informazioni all’interno vengono recuperate automaticamente ad eccezione delle informative di </w:t>
      </w:r>
      <w:r w:rsidR="00D6632C">
        <w:t>legge(appendice</w:t>
      </w:r>
      <w:r>
        <w:t xml:space="preserve">) </w:t>
      </w:r>
      <w:r w:rsidR="000C1816">
        <w:t xml:space="preserve">che sono scelte dall’operatore. </w:t>
      </w:r>
    </w:p>
    <w:p w14:paraId="53C26741" w14:textId="65E0C9D8" w:rsidR="000C1816" w:rsidRDefault="000C1816" w:rsidP="00BB4CA7">
      <w:r>
        <w:t xml:space="preserve">Il tecnico può richiedere l’approvazione al direttore e al responsabile del laboratorio, il quale può approvare il documento ed essere pronto per la sua </w:t>
      </w:r>
      <w:r w:rsidR="00D6632C">
        <w:t>spedizione</w:t>
      </w:r>
      <w:r>
        <w:t xml:space="preserve"> al cliente o rifiutarlo, indicandone il motivo e il documento tornerà ai tecnici, che dopo le dovute modifiche, potranno richiedere nuovamente l’approvazione.</w:t>
      </w:r>
    </w:p>
    <w:p w14:paraId="51FD2C90" w14:textId="77777777" w:rsidR="000C1816" w:rsidRDefault="000C1816" w:rsidP="00BB4CA7">
      <w:r>
        <w:t>La spedizione viene condotta dal responsabile dei sistemi informativi che una volta effettuata blocca tutte le informazioni relative al rapporto di prova.</w:t>
      </w:r>
    </w:p>
    <w:p w14:paraId="31C28017" w14:textId="3DDC66BD" w:rsidR="00244199" w:rsidRDefault="000C1816" w:rsidP="00BB4CA7">
      <w:r>
        <w:t>Può capitare, successivamente al blocco, si notino degli errori, non è possibile sbloccare il documento. Ma è possibile crearne una copia correttiva, che sblocca le informazion</w:t>
      </w:r>
      <w:r w:rsidR="00D6632C">
        <w:t>i</w:t>
      </w:r>
      <w:r>
        <w:t xml:space="preserve"> prima bloccate</w:t>
      </w:r>
      <w:r w:rsidR="00D6632C">
        <w:t xml:space="preserve">, </w:t>
      </w:r>
      <w:proofErr w:type="spellStart"/>
      <w:r w:rsidR="00D6632C">
        <w:t>apparte</w:t>
      </w:r>
      <w:proofErr w:type="spellEnd"/>
      <w:r w:rsidR="00D6632C">
        <w:t xml:space="preserve"> il rapporto di prova dal </w:t>
      </w:r>
      <w:r w:rsidR="00D6632C" w:rsidRPr="00D6632C">
        <w:t>quale</w:t>
      </w:r>
      <w:r w:rsidR="00D6632C">
        <w:t xml:space="preserve"> viene creato</w:t>
      </w:r>
      <w:r w:rsidR="00863DD1">
        <w:br/>
        <w:t xml:space="preserve"> </w:t>
      </w:r>
    </w:p>
    <w:p w14:paraId="7A7840D7" w14:textId="77777777" w:rsidR="00D6632C" w:rsidRDefault="00D6632C" w:rsidP="00BB4CA7"/>
    <w:p w14:paraId="5E2A5B58" w14:textId="1D924425" w:rsidR="00D6632C" w:rsidRDefault="00D6632C" w:rsidP="00D6632C">
      <w:pPr>
        <w:pStyle w:val="Titolo2"/>
      </w:pPr>
      <w:r>
        <w:t>TODO: LOG</w:t>
      </w:r>
    </w:p>
    <w:p w14:paraId="5C6267EF" w14:textId="77777777" w:rsidR="00D6632C" w:rsidRPr="00244199" w:rsidRDefault="00D6632C" w:rsidP="00BB4CA7"/>
    <w:sectPr w:rsidR="00D6632C" w:rsidRPr="00244199">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0298D"/>
    <w:multiLevelType w:val="hybridMultilevel"/>
    <w:tmpl w:val="FEAA544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DF05915"/>
    <w:multiLevelType w:val="hybridMultilevel"/>
    <w:tmpl w:val="A6EE9A6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2A2638CE"/>
    <w:multiLevelType w:val="multilevel"/>
    <w:tmpl w:val="C936B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641EE9"/>
    <w:multiLevelType w:val="multilevel"/>
    <w:tmpl w:val="242C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993C04"/>
    <w:multiLevelType w:val="multilevel"/>
    <w:tmpl w:val="67F47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C3552EF"/>
    <w:multiLevelType w:val="hybridMultilevel"/>
    <w:tmpl w:val="7066744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7D8D708D"/>
    <w:multiLevelType w:val="hybridMultilevel"/>
    <w:tmpl w:val="D114722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7FBB6EE7"/>
    <w:multiLevelType w:val="multilevel"/>
    <w:tmpl w:val="DE201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5405235">
    <w:abstractNumId w:val="5"/>
  </w:num>
  <w:num w:numId="2" w16cid:durableId="206575433">
    <w:abstractNumId w:val="2"/>
  </w:num>
  <w:num w:numId="3" w16cid:durableId="51008602">
    <w:abstractNumId w:val="7"/>
  </w:num>
  <w:num w:numId="4" w16cid:durableId="1632900915">
    <w:abstractNumId w:val="4"/>
  </w:num>
  <w:num w:numId="5" w16cid:durableId="1483086268">
    <w:abstractNumId w:val="3"/>
  </w:num>
  <w:num w:numId="6" w16cid:durableId="1086153247">
    <w:abstractNumId w:val="1"/>
  </w:num>
  <w:num w:numId="7" w16cid:durableId="1903327519">
    <w:abstractNumId w:val="6"/>
  </w:num>
  <w:num w:numId="8" w16cid:durableId="20258644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51B1"/>
    <w:rsid w:val="000524AB"/>
    <w:rsid w:val="000C1816"/>
    <w:rsid w:val="000D41F9"/>
    <w:rsid w:val="00244199"/>
    <w:rsid w:val="00255378"/>
    <w:rsid w:val="003824BE"/>
    <w:rsid w:val="003A720D"/>
    <w:rsid w:val="004D1A2A"/>
    <w:rsid w:val="00547B23"/>
    <w:rsid w:val="005536FC"/>
    <w:rsid w:val="00616BCA"/>
    <w:rsid w:val="007751B1"/>
    <w:rsid w:val="007A1674"/>
    <w:rsid w:val="00817A82"/>
    <w:rsid w:val="008508E8"/>
    <w:rsid w:val="00863DD1"/>
    <w:rsid w:val="00883823"/>
    <w:rsid w:val="00925100"/>
    <w:rsid w:val="00975251"/>
    <w:rsid w:val="009B6B21"/>
    <w:rsid w:val="00AD377E"/>
    <w:rsid w:val="00B15938"/>
    <w:rsid w:val="00BB4CA7"/>
    <w:rsid w:val="00BC2A50"/>
    <w:rsid w:val="00CB2ECE"/>
    <w:rsid w:val="00D6632C"/>
    <w:rsid w:val="00ED51E1"/>
    <w:rsid w:val="00EE6687"/>
    <w:rsid w:val="00EE6AEB"/>
    <w:rsid w:val="00F2184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BD4CF8"/>
  <w15:chartTrackingRefBased/>
  <w15:docId w15:val="{6EF19229-5BA8-4BC6-9165-1EAE2D6B20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9B6B21"/>
  </w:style>
  <w:style w:type="paragraph" w:styleId="Titolo1">
    <w:name w:val="heading 1"/>
    <w:basedOn w:val="Normale"/>
    <w:next w:val="Normale"/>
    <w:link w:val="Titolo1Carattere"/>
    <w:uiPriority w:val="9"/>
    <w:qFormat/>
    <w:rsid w:val="007751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unhideWhenUsed/>
    <w:qFormat/>
    <w:rsid w:val="007751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unhideWhenUsed/>
    <w:qFormat/>
    <w:rsid w:val="007751B1"/>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7751B1"/>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7751B1"/>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7751B1"/>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7751B1"/>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7751B1"/>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7751B1"/>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7751B1"/>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rsid w:val="007751B1"/>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rsid w:val="007751B1"/>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7751B1"/>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7751B1"/>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7751B1"/>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7751B1"/>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7751B1"/>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7751B1"/>
    <w:rPr>
      <w:rFonts w:eastAsiaTheme="majorEastAsia" w:cstheme="majorBidi"/>
      <w:color w:val="272727" w:themeColor="text1" w:themeTint="D8"/>
    </w:rPr>
  </w:style>
  <w:style w:type="paragraph" w:styleId="Titolo">
    <w:name w:val="Title"/>
    <w:basedOn w:val="Normale"/>
    <w:next w:val="Normale"/>
    <w:link w:val="TitoloCarattere"/>
    <w:uiPriority w:val="10"/>
    <w:qFormat/>
    <w:rsid w:val="007751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7751B1"/>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7751B1"/>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7751B1"/>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7751B1"/>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7751B1"/>
    <w:rPr>
      <w:i/>
      <w:iCs/>
      <w:color w:val="404040" w:themeColor="text1" w:themeTint="BF"/>
    </w:rPr>
  </w:style>
  <w:style w:type="paragraph" w:styleId="Paragrafoelenco">
    <w:name w:val="List Paragraph"/>
    <w:basedOn w:val="Normale"/>
    <w:uiPriority w:val="34"/>
    <w:qFormat/>
    <w:rsid w:val="007751B1"/>
    <w:pPr>
      <w:ind w:left="720"/>
      <w:contextualSpacing/>
    </w:pPr>
  </w:style>
  <w:style w:type="character" w:styleId="Enfasiintensa">
    <w:name w:val="Intense Emphasis"/>
    <w:basedOn w:val="Carpredefinitoparagrafo"/>
    <w:uiPriority w:val="21"/>
    <w:qFormat/>
    <w:rsid w:val="007751B1"/>
    <w:rPr>
      <w:i/>
      <w:iCs/>
      <w:color w:val="2F5496" w:themeColor="accent1" w:themeShade="BF"/>
    </w:rPr>
  </w:style>
  <w:style w:type="paragraph" w:styleId="Citazioneintensa">
    <w:name w:val="Intense Quote"/>
    <w:basedOn w:val="Normale"/>
    <w:next w:val="Normale"/>
    <w:link w:val="CitazioneintensaCarattere"/>
    <w:uiPriority w:val="30"/>
    <w:qFormat/>
    <w:rsid w:val="007751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7751B1"/>
    <w:rPr>
      <w:i/>
      <w:iCs/>
      <w:color w:val="2F5496" w:themeColor="accent1" w:themeShade="BF"/>
    </w:rPr>
  </w:style>
  <w:style w:type="character" w:styleId="Riferimentointenso">
    <w:name w:val="Intense Reference"/>
    <w:basedOn w:val="Carpredefinitoparagrafo"/>
    <w:uiPriority w:val="32"/>
    <w:qFormat/>
    <w:rsid w:val="007751B1"/>
    <w:rPr>
      <w:b/>
      <w:bCs/>
      <w:smallCaps/>
      <w:color w:val="2F5496" w:themeColor="accent1" w:themeShade="BF"/>
      <w:spacing w:val="5"/>
    </w:rPr>
  </w:style>
  <w:style w:type="character" w:styleId="Collegamentoipertestuale">
    <w:name w:val="Hyperlink"/>
    <w:basedOn w:val="Carpredefinitoparagrafo"/>
    <w:uiPriority w:val="99"/>
    <w:unhideWhenUsed/>
    <w:rsid w:val="00244199"/>
    <w:rPr>
      <w:color w:val="0563C1" w:themeColor="hyperlink"/>
      <w:u w:val="single"/>
    </w:rPr>
  </w:style>
  <w:style w:type="character" w:styleId="Menzionenonrisolta">
    <w:name w:val="Unresolved Mention"/>
    <w:basedOn w:val="Carpredefinitoparagrafo"/>
    <w:uiPriority w:val="99"/>
    <w:semiHidden/>
    <w:unhideWhenUsed/>
    <w:rsid w:val="0024419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209</TotalTime>
  <Pages>1</Pages>
  <Words>1258</Words>
  <Characters>7172</Characters>
  <Application>Microsoft Office Word</Application>
  <DocSecurity>0</DocSecurity>
  <Lines>59</Lines>
  <Paragraphs>16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8414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6</cp:revision>
  <dcterms:created xsi:type="dcterms:W3CDTF">2026-05-21T11:55:00Z</dcterms:created>
  <dcterms:modified xsi:type="dcterms:W3CDTF">2026-06-09T16:42:00Z</dcterms:modified>
</cp:coreProperties>
</file>