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7445" w14:textId="117E4DB0" w:rsidR="003824BE" w:rsidRDefault="00244199" w:rsidP="00244199">
      <w:pPr>
        <w:pStyle w:val="Titolo1"/>
      </w:pPr>
      <w:r>
        <w:t>Progetto</w:t>
      </w:r>
    </w:p>
    <w:p w14:paraId="09EBBB15" w14:textId="5D528614" w:rsidR="00863DD1" w:rsidRDefault="00863DD1" w:rsidP="00863DD1">
      <w:pPr>
        <w:pStyle w:val="Titolo2"/>
      </w:pPr>
      <w:r>
        <w:t>CIAS FERRARA</w:t>
      </w:r>
    </w:p>
    <w:p w14:paraId="74527C8F" w14:textId="37FDEBEF" w:rsidR="00ED51E1" w:rsidRDefault="00ED51E1" w:rsidP="00ED51E1">
      <w:pPr>
        <w:rPr>
          <w:u w:val="single"/>
        </w:rPr>
      </w:pPr>
      <w:r w:rsidRPr="00925100">
        <w:t xml:space="preserve">Il progetto è stato commissionato dal </w:t>
      </w:r>
      <w:r w:rsidR="00F65B38" w:rsidRPr="00925100">
        <w:t>Centro ricerche Inquinamento Fisico Chimico Microbiologico Ambienti Alta Sterilità</w:t>
      </w:r>
      <w:r w:rsidR="00F65B38" w:rsidRPr="00925100">
        <w:t xml:space="preserve"> </w:t>
      </w:r>
      <w:r w:rsidRPr="00925100">
        <w:t>(</w:t>
      </w:r>
      <w:r w:rsidR="00F65B38" w:rsidRPr="00925100">
        <w:t>CIAS</w:t>
      </w:r>
      <w:r w:rsidRPr="00925100">
        <w:t>) dell'Università degli Studi di Ferrara.</w:t>
      </w:r>
      <w:r>
        <w:t xml:space="preserve">  Il Centro è stato fondato nel 2005 come struttura di ricerca interna del Dipartimento di Architettura. </w:t>
      </w:r>
      <w:r w:rsidRPr="00925100">
        <w:t xml:space="preserve">Nel 2013, è stato trasformato in Centro Interdipartimentale </w:t>
      </w:r>
      <w:r w:rsidRPr="00EE6AEB">
        <w:t>dell'Ateneo ed attualmente coinvolge il Dipartimento di Architettura e il Dipartimento di Scienze dell’Ambiente e della Prevenzione, che dal 2024 ne costituisce il dipartimento di afferenza.</w:t>
      </w:r>
      <w:r>
        <w:t xml:space="preserve"> </w:t>
      </w:r>
    </w:p>
    <w:p w14:paraId="1B816181" w14:textId="77777777" w:rsidR="00ED51E1" w:rsidRDefault="00ED51E1" w:rsidP="00ED51E1">
      <w:r w:rsidRPr="00547B23">
        <w:t>Il CIAS integra ricerca scientifica, attività diagnostica e ingegneria impiantistica per la gestione del controllo della contaminazione e l’efficienza energetica in ambienti confinati complessi. Le sue attività si articolano in quattro principali macroaree:</w:t>
      </w:r>
    </w:p>
    <w:p w14:paraId="136ADD98" w14:textId="7E9BA22B" w:rsidR="00112935" w:rsidRPr="00112935" w:rsidRDefault="00112935" w:rsidP="00112935">
      <w:pPr>
        <w:pStyle w:val="Paragrafoelenco"/>
        <w:numPr>
          <w:ilvl w:val="0"/>
          <w:numId w:val="11"/>
        </w:numPr>
      </w:pPr>
      <w:proofErr w:type="spellStart"/>
      <w:r w:rsidRPr="00112935">
        <w:rPr>
          <w:b/>
          <w:bCs/>
        </w:rPr>
        <w:t>Pollution</w:t>
      </w:r>
      <w:proofErr w:type="spellEnd"/>
      <w:r w:rsidRPr="00112935">
        <w:rPr>
          <w:b/>
          <w:bCs/>
        </w:rPr>
        <w:t xml:space="preserve"> &amp; Health: </w:t>
      </w:r>
      <w:r w:rsidRPr="00112935">
        <w:t>studio e soluzioni per inquinanti fisici, chimici e microbiologici, presenti nell'aria e sul terreno, e i loro effetti sulla salute delle persone e degli animali. Include la validazione sperimentale di protocolli di sanificazione clinica o industriale (aree</w:t>
      </w:r>
      <w:r w:rsidR="00D349B2" w:rsidRPr="00D349B2">
        <w:t xml:space="preserve"> Good Manufacturing Practice</w:t>
      </w:r>
      <w:r w:rsidR="00D349B2">
        <w:t xml:space="preserve"> (GMP</w:t>
      </w:r>
      <w:r w:rsidRPr="00112935">
        <w:t xml:space="preserve">) e lo sviluppo di sistemi </w:t>
      </w:r>
      <w:proofErr w:type="spellStart"/>
      <w:r w:rsidRPr="00112935">
        <w:t>bio-based</w:t>
      </w:r>
      <w:proofErr w:type="spellEnd"/>
      <w:r w:rsidRPr="00112935">
        <w:t xml:space="preserve"> per il contrasto delle Infezioni Correlate all'Assistenza (ICA).</w:t>
      </w:r>
    </w:p>
    <w:p w14:paraId="05C3C13A" w14:textId="0EA6CABD" w:rsidR="00112935" w:rsidRPr="00112935" w:rsidRDefault="00112935" w:rsidP="00112935">
      <w:pPr>
        <w:pStyle w:val="Paragrafoelenco"/>
        <w:numPr>
          <w:ilvl w:val="0"/>
          <w:numId w:val="11"/>
        </w:numPr>
      </w:pPr>
      <w:r w:rsidRPr="00112935">
        <w:rPr>
          <w:b/>
          <w:bCs/>
        </w:rPr>
        <w:t xml:space="preserve">Ambiente </w:t>
      </w:r>
      <w:proofErr w:type="gramStart"/>
      <w:r w:rsidRPr="00112935">
        <w:rPr>
          <w:b/>
          <w:bCs/>
        </w:rPr>
        <w:t>e</w:t>
      </w:r>
      <w:proofErr w:type="gramEnd"/>
      <w:r w:rsidRPr="00112935">
        <w:rPr>
          <w:b/>
          <w:bCs/>
        </w:rPr>
        <w:t xml:space="preserve"> Energia: </w:t>
      </w:r>
      <w:r w:rsidRPr="00112935">
        <w:t>analisi ambientali per ottimizzare il comfort, la qualità dell'aria e l'efficienza energetica, con un focus sui requisiti tecnici e strutturali di ambienti ad alta sterilità come blocchi operatori e laboratori.</w:t>
      </w:r>
    </w:p>
    <w:p w14:paraId="41D8799B" w14:textId="79E85619" w:rsidR="00112935" w:rsidRPr="00112935" w:rsidRDefault="00112935" w:rsidP="00112935">
      <w:pPr>
        <w:pStyle w:val="Paragrafoelenco"/>
        <w:numPr>
          <w:ilvl w:val="0"/>
          <w:numId w:val="11"/>
        </w:numPr>
        <w:rPr>
          <w:b/>
          <w:bCs/>
        </w:rPr>
      </w:pPr>
      <w:r w:rsidRPr="00112935">
        <w:rPr>
          <w:b/>
          <w:bCs/>
        </w:rPr>
        <w:t xml:space="preserve">Heritage: </w:t>
      </w:r>
      <w:r w:rsidRPr="00112935">
        <w:t xml:space="preserve">analisi dei fenomeni di degrado biologico, fisico e chimico di beni di interesse storico-artistico, con l'obiettivo di preservarli in modo efficace. Questo include la progettazione di impianti adeguati </w:t>
      </w:r>
      <w:proofErr w:type="gramStart"/>
      <w:r w:rsidRPr="00112935">
        <w:t>per la</w:t>
      </w:r>
      <w:proofErr w:type="gramEnd"/>
      <w:r w:rsidRPr="00112935">
        <w:t xml:space="preserve"> protezione degli spazi espositivi e museali.</w:t>
      </w:r>
    </w:p>
    <w:p w14:paraId="75738C0E" w14:textId="77777777" w:rsidR="00112935" w:rsidRPr="00112935" w:rsidRDefault="00112935" w:rsidP="00112935">
      <w:pPr>
        <w:pStyle w:val="Paragrafoelenco"/>
        <w:numPr>
          <w:ilvl w:val="0"/>
          <w:numId w:val="11"/>
        </w:numPr>
      </w:pPr>
      <w:proofErr w:type="spellStart"/>
      <w:r w:rsidRPr="00112935">
        <w:rPr>
          <w:b/>
          <w:bCs/>
        </w:rPr>
        <w:t>Safety</w:t>
      </w:r>
      <w:proofErr w:type="spellEnd"/>
      <w:r w:rsidRPr="00112935">
        <w:rPr>
          <w:b/>
          <w:bCs/>
        </w:rPr>
        <w:t xml:space="preserve"> &amp; Training: </w:t>
      </w:r>
      <w:r w:rsidRPr="00112935">
        <w:t>ricerca applicata nel settore della sicurezza sul lavoro e della prevenzione incendi. Accoppiata ad attività di formazione specialistica e aggiornamento professionale. Le attività riguardano procedure di biosicurezza e tecniche di analisi microbiologica.</w:t>
      </w:r>
    </w:p>
    <w:p w14:paraId="601F6003" w14:textId="104B1DE2" w:rsidR="001A74BE" w:rsidRDefault="001A74BE" w:rsidP="00863DD1">
      <w:pPr>
        <w:pStyle w:val="Titolo2"/>
        <w:rPr>
          <w:rFonts w:asciiTheme="minorHAnsi" w:eastAsiaTheme="minorHAnsi" w:hAnsiTheme="minorHAnsi" w:cstheme="minorBidi"/>
          <w:color w:val="auto"/>
          <w:sz w:val="22"/>
          <w:szCs w:val="22"/>
        </w:rPr>
      </w:pPr>
      <w:r w:rsidRPr="001A74BE">
        <w:rPr>
          <w:rFonts w:asciiTheme="minorHAnsi" w:eastAsiaTheme="minorHAnsi" w:hAnsiTheme="minorHAnsi" w:cstheme="minorBidi"/>
          <w:color w:val="auto"/>
          <w:sz w:val="22"/>
          <w:szCs w:val="22"/>
        </w:rPr>
        <w:t>Le attività di campionamento e le analisi di laboratorio sono condotte in conformità a metodi ufficiali accreditati e seguono rigorosi protocolli standardizzati. Le procedure operative sono suddivise in due fasi sequenziali e interdipendenti</w:t>
      </w:r>
      <w:r w:rsidR="00D349B2">
        <w:rPr>
          <w:rFonts w:asciiTheme="minorHAnsi" w:eastAsiaTheme="minorHAnsi" w:hAnsiTheme="minorHAnsi" w:cstheme="minorBidi"/>
          <w:color w:val="auto"/>
          <w:sz w:val="22"/>
          <w:szCs w:val="22"/>
        </w:rPr>
        <w:t xml:space="preserve">. La prima riguarda </w:t>
      </w:r>
      <w:r w:rsidRPr="001A74BE">
        <w:rPr>
          <w:rFonts w:asciiTheme="minorHAnsi" w:eastAsiaTheme="minorHAnsi" w:hAnsiTheme="minorHAnsi" w:cstheme="minorBidi"/>
          <w:color w:val="auto"/>
          <w:sz w:val="22"/>
          <w:szCs w:val="22"/>
        </w:rPr>
        <w:t>i metodi di campionamento</w:t>
      </w:r>
      <w:r w:rsidR="00D349B2">
        <w:rPr>
          <w:rFonts w:asciiTheme="minorHAnsi" w:eastAsiaTheme="minorHAnsi" w:hAnsiTheme="minorHAnsi" w:cstheme="minorBidi"/>
          <w:color w:val="auto"/>
          <w:sz w:val="22"/>
          <w:szCs w:val="22"/>
        </w:rPr>
        <w:t>, che</w:t>
      </w:r>
      <w:r w:rsidRPr="001A74BE">
        <w:rPr>
          <w:rFonts w:asciiTheme="minorHAnsi" w:eastAsiaTheme="minorHAnsi" w:hAnsiTheme="minorHAnsi" w:cstheme="minorBidi"/>
          <w:color w:val="auto"/>
          <w:sz w:val="22"/>
          <w:szCs w:val="22"/>
        </w:rPr>
        <w:t xml:space="preserve"> stabiliscono le operazioni da svolgere sul campo e la strumentazione necessaria per il prelievo rappresentativo della matrice ambientale, come stabilito dalla norma UNI EN 13098 per la pianificazione del campionamento di </w:t>
      </w:r>
      <w:proofErr w:type="spellStart"/>
      <w:r w:rsidRPr="001A74BE">
        <w:rPr>
          <w:rFonts w:asciiTheme="minorHAnsi" w:eastAsiaTheme="minorHAnsi" w:hAnsiTheme="minorHAnsi" w:cstheme="minorBidi"/>
          <w:color w:val="auto"/>
          <w:sz w:val="22"/>
          <w:szCs w:val="22"/>
        </w:rPr>
        <w:t>bioaerosol</w:t>
      </w:r>
      <w:proofErr w:type="spellEnd"/>
      <w:r w:rsidRPr="001A74BE">
        <w:rPr>
          <w:rFonts w:asciiTheme="minorHAnsi" w:eastAsiaTheme="minorHAnsi" w:hAnsiTheme="minorHAnsi" w:cstheme="minorBidi"/>
          <w:color w:val="auto"/>
          <w:sz w:val="22"/>
          <w:szCs w:val="22"/>
        </w:rPr>
        <w:t>.</w:t>
      </w:r>
      <w:r w:rsidR="00D349B2">
        <w:rPr>
          <w:rFonts w:asciiTheme="minorHAnsi" w:eastAsiaTheme="minorHAnsi" w:hAnsiTheme="minorHAnsi" w:cstheme="minorBidi"/>
          <w:color w:val="auto"/>
          <w:sz w:val="22"/>
          <w:szCs w:val="22"/>
        </w:rPr>
        <w:t xml:space="preserve"> La seconda è rappresentata dai</w:t>
      </w:r>
      <w:r w:rsidRPr="001A74BE">
        <w:rPr>
          <w:rFonts w:asciiTheme="minorHAnsi" w:eastAsiaTheme="minorHAnsi" w:hAnsiTheme="minorHAnsi" w:cstheme="minorBidi"/>
          <w:color w:val="auto"/>
          <w:sz w:val="22"/>
          <w:szCs w:val="22"/>
        </w:rPr>
        <w:t xml:space="preserve"> metodi di prova</w:t>
      </w:r>
      <w:r w:rsidR="00D349B2">
        <w:rPr>
          <w:rFonts w:asciiTheme="minorHAnsi" w:eastAsiaTheme="minorHAnsi" w:hAnsiTheme="minorHAnsi" w:cstheme="minorBidi"/>
          <w:color w:val="auto"/>
          <w:sz w:val="22"/>
          <w:szCs w:val="22"/>
        </w:rPr>
        <w:t>, che</w:t>
      </w:r>
      <w:r w:rsidRPr="001A74BE">
        <w:rPr>
          <w:rFonts w:asciiTheme="minorHAnsi" w:eastAsiaTheme="minorHAnsi" w:hAnsiTheme="minorHAnsi" w:cstheme="minorBidi"/>
          <w:color w:val="auto"/>
          <w:sz w:val="22"/>
          <w:szCs w:val="22"/>
        </w:rPr>
        <w:t xml:space="preserve"> stabiliscono i protocolli analitici e microbiologici di laboratorio per la determinazione e la quantificazione della contaminazione, in conformità con standard come la norma UNI EN ISO 4833 per la conta dei microrganismi vivi. In laboratorio, queste fasi costituiscono un ciclo operativo unico, formalmente convalidato congiuntamente dai due standard (UNI EN 13098 + UNI EN ISO 4833). La conformità delle procedure e la competenza tecnica della struttura sono attestate dall'accreditamento di Accredia (Ente Italiano di Accreditamento), che ne garantisce l'affidabilità tramite verifiche ispettive e controlli periodici.</w:t>
      </w:r>
    </w:p>
    <w:p w14:paraId="1239D862" w14:textId="5CD7DBFD" w:rsidR="00B15938" w:rsidRDefault="00B15938" w:rsidP="00863DD1">
      <w:pPr>
        <w:pStyle w:val="Titolo2"/>
      </w:pPr>
      <w:r>
        <w:t>ENVASS</w:t>
      </w:r>
    </w:p>
    <w:p w14:paraId="041CD4BA" w14:textId="1E225C3F" w:rsidR="006D2523" w:rsidRDefault="006D2523" w:rsidP="006D2523">
      <w:r>
        <w:t xml:space="preserve">Il progetto ENVASS nasce e si sviluppa all’interno del laboratorio CIAS per rispondere all'esigenza di creare un sistema gestionale centralizzato in grado di archiviare, tracciare e gestire tutte le informazioni relative ai campioni analizzati. Nella sua prima versione, il sistema era un'interfaccia web statica, usata principalmente per catalogare manualmente i singoli campioni analizzati e </w:t>
      </w:r>
      <w:r w:rsidR="0004056F">
        <w:t>le relative</w:t>
      </w:r>
      <w:r>
        <w:t xml:space="preserve"> foto. </w:t>
      </w:r>
      <w:r w:rsidR="0004056F">
        <w:t>Erano disponibili anche funzionalità di estrazione dati basati su filtri di ricerca le cui</w:t>
      </w:r>
      <w:r>
        <w:t xml:space="preserve"> variabili chiave </w:t>
      </w:r>
      <w:r w:rsidR="0004056F">
        <w:t xml:space="preserve">erano </w:t>
      </w:r>
      <w:r>
        <w:t>il progetto di riferimento, la struttura ospitante e le</w:t>
      </w:r>
      <w:r w:rsidR="0004056F">
        <w:t xml:space="preserve"> date di</w:t>
      </w:r>
      <w:r>
        <w:t xml:space="preserve"> rilevazion</w:t>
      </w:r>
      <w:r w:rsidR="0004056F">
        <w:t>e</w:t>
      </w:r>
      <w:r>
        <w:t>.</w:t>
      </w:r>
    </w:p>
    <w:p w14:paraId="6119989E" w14:textId="77777777" w:rsidR="006D2523" w:rsidRDefault="006D2523" w:rsidP="006D2523">
      <w:r>
        <w:lastRenderedPageBreak/>
        <w:t xml:space="preserve">In seguito, per rispondere alle crescenti richieste di digitalizzazione e ai severi requisiti di conformità e tracciabilità imposti dall'ente nazionale di accreditamento ACCREDIA, è stato necessario aggiornare la piattaforma con un'architettura più moderna e integrata, in grado di estendere il controllo informatico a tutte le fasi della filiera operativa e procedurale del laboratorio.  </w:t>
      </w:r>
    </w:p>
    <w:p w14:paraId="7BC8EB0A" w14:textId="5FC4CC38" w:rsidR="006D2523" w:rsidRPr="006D2523" w:rsidRDefault="006D2523" w:rsidP="006D2523">
      <w:r>
        <w:t>Per realizzare questa transizione tecnologica, il CIAS ha affidato al laboratorio ACLAI la progettazione e lo sviluppo di una versione avanzata del sistema preesistente.</w:t>
      </w:r>
      <w:r w:rsidR="0004056F">
        <w:t xml:space="preserve"> </w:t>
      </w:r>
      <w:r>
        <w:t xml:space="preserve">L'analisi del flusso di lavoro ha portato alla mappatura dei processi principali e allo sviluppo di un'architettura software suddivisa </w:t>
      </w:r>
      <w:r w:rsidR="0004056F">
        <w:t>nei</w:t>
      </w:r>
      <w:r>
        <w:t xml:space="preserve"> macro-blocchi</w:t>
      </w:r>
      <w:r w:rsidR="0004056F">
        <w:t>, che andremo ad analizzare di seguito.</w:t>
      </w:r>
    </w:p>
    <w:p w14:paraId="57BFF0A6" w14:textId="2A5ED452" w:rsidR="000D41F9" w:rsidRDefault="000D41F9" w:rsidP="000D41F9">
      <w:pPr>
        <w:pStyle w:val="Titolo3"/>
      </w:pPr>
      <w:r>
        <w:t>Anagrafica</w:t>
      </w:r>
    </w:p>
    <w:p w14:paraId="694C8F59" w14:textId="77777777" w:rsidR="006D2523" w:rsidRPr="006D2523" w:rsidRDefault="006D2523" w:rsidP="006D2523">
      <w:pPr>
        <w:pStyle w:val="Titolo3"/>
        <w:tabs>
          <w:tab w:val="left" w:pos="1320"/>
        </w:tabs>
        <w:rPr>
          <w:rFonts w:eastAsiaTheme="minorHAnsi" w:cstheme="minorBidi"/>
          <w:color w:val="auto"/>
          <w:sz w:val="22"/>
          <w:szCs w:val="22"/>
        </w:rPr>
      </w:pPr>
      <w:r w:rsidRPr="006D2523">
        <w:rPr>
          <w:rFonts w:eastAsiaTheme="minorHAnsi" w:cstheme="minorBidi"/>
          <w:color w:val="auto"/>
          <w:sz w:val="22"/>
          <w:szCs w:val="22"/>
        </w:rPr>
        <w:t xml:space="preserve">L’anagrafica svolge il ruolo di registro centrale delle entità strutturali, dei soggetti e delle attività di laboratorio. </w:t>
      </w:r>
    </w:p>
    <w:p w14:paraId="3924444A" w14:textId="7F56DDA7" w:rsidR="006D2523" w:rsidRPr="006D2523" w:rsidRDefault="0004056F" w:rsidP="006D2523">
      <w:pPr>
        <w:pStyle w:val="Titolo3"/>
        <w:tabs>
          <w:tab w:val="left" w:pos="1320"/>
        </w:tabs>
        <w:rPr>
          <w:rFonts w:eastAsiaTheme="minorHAnsi" w:cstheme="minorBidi"/>
          <w:color w:val="auto"/>
          <w:sz w:val="22"/>
          <w:szCs w:val="22"/>
        </w:rPr>
      </w:pPr>
      <w:r>
        <w:rPr>
          <w:rFonts w:eastAsiaTheme="minorHAnsi" w:cstheme="minorBidi"/>
          <w:color w:val="auto"/>
          <w:sz w:val="22"/>
          <w:szCs w:val="22"/>
        </w:rPr>
        <w:t>Innanzitutto</w:t>
      </w:r>
      <w:r w:rsidR="006D2523" w:rsidRPr="006D2523">
        <w:rPr>
          <w:rFonts w:eastAsiaTheme="minorHAnsi" w:cstheme="minorBidi"/>
          <w:color w:val="auto"/>
          <w:sz w:val="22"/>
          <w:szCs w:val="22"/>
        </w:rPr>
        <w:t>, il modulo gestisce i profili dei committenti, ovvero i clienti esterni o gli enti terzi che richiedono le prestazioni del CIAS. Per ciascun committente, il sistema archivia le informazioni di contatto</w:t>
      </w:r>
      <w:r>
        <w:rPr>
          <w:rFonts w:eastAsiaTheme="minorHAnsi" w:cstheme="minorBidi"/>
          <w:color w:val="auto"/>
          <w:sz w:val="22"/>
          <w:szCs w:val="22"/>
        </w:rPr>
        <w:t>, che</w:t>
      </w:r>
      <w:r w:rsidR="006D2523" w:rsidRPr="006D2523">
        <w:rPr>
          <w:rFonts w:eastAsiaTheme="minorHAnsi" w:cstheme="minorBidi"/>
          <w:color w:val="auto"/>
          <w:sz w:val="22"/>
          <w:szCs w:val="22"/>
        </w:rPr>
        <w:t xml:space="preserve"> includono recapiti telefonici, indirizzi di posta elettronica e sedi fisiche. Questo garantisce la tracciabilità amministrativa e la corretta associazione delle commesse. </w:t>
      </w:r>
    </w:p>
    <w:p w14:paraId="1E7AE122" w14:textId="5FE41BD8" w:rsidR="001374D8" w:rsidRDefault="001374D8" w:rsidP="006D2523">
      <w:pPr>
        <w:pStyle w:val="Titolo3"/>
        <w:tabs>
          <w:tab w:val="left" w:pos="1320"/>
        </w:tabs>
        <w:rPr>
          <w:rFonts w:eastAsiaTheme="minorHAnsi" w:cstheme="minorBidi"/>
          <w:color w:val="auto"/>
          <w:sz w:val="22"/>
          <w:szCs w:val="22"/>
        </w:rPr>
      </w:pPr>
      <w:r w:rsidRPr="001374D8">
        <w:rPr>
          <w:rFonts w:eastAsiaTheme="minorHAnsi" w:cstheme="minorBidi"/>
          <w:color w:val="auto"/>
          <w:sz w:val="22"/>
          <w:szCs w:val="22"/>
        </w:rPr>
        <w:t xml:space="preserve">L'anagrafica rappresenta i </w:t>
      </w:r>
      <w:r w:rsidR="00F65B38">
        <w:rPr>
          <w:rFonts w:eastAsiaTheme="minorHAnsi" w:cstheme="minorBidi"/>
          <w:color w:val="auto"/>
          <w:sz w:val="22"/>
          <w:szCs w:val="22"/>
        </w:rPr>
        <w:t>luoghi di campionamento</w:t>
      </w:r>
      <w:r w:rsidRPr="001374D8">
        <w:rPr>
          <w:rFonts w:eastAsiaTheme="minorHAnsi" w:cstheme="minorBidi"/>
          <w:color w:val="auto"/>
          <w:sz w:val="22"/>
          <w:szCs w:val="22"/>
        </w:rPr>
        <w:t xml:space="preserve"> attraverso un modello gerarchico articolato su tre livelli. Le strutture identificano le entità principali, </w:t>
      </w:r>
      <w:r w:rsidRPr="00F65B38">
        <w:rPr>
          <w:rFonts w:eastAsiaTheme="minorHAnsi" w:cstheme="minorBidi"/>
          <w:color w:val="auto"/>
          <w:sz w:val="22"/>
          <w:szCs w:val="22"/>
        </w:rPr>
        <w:t>come</w:t>
      </w:r>
      <w:r w:rsidRPr="001374D8">
        <w:rPr>
          <w:rFonts w:eastAsiaTheme="minorHAnsi" w:cstheme="minorBidi"/>
          <w:color w:val="auto"/>
          <w:sz w:val="22"/>
          <w:szCs w:val="22"/>
        </w:rPr>
        <w:t xml:space="preserve"> complessi edilizi, presidi ospedalieri o siti industriali. Le partizioni definiscono le principali suddivisioni logiche o fisiche</w:t>
      </w:r>
      <w:r w:rsidR="00F65B38">
        <w:rPr>
          <w:rFonts w:eastAsiaTheme="minorHAnsi" w:cstheme="minorBidi"/>
          <w:color w:val="auto"/>
          <w:sz w:val="22"/>
          <w:szCs w:val="22"/>
        </w:rPr>
        <w:t xml:space="preserve"> all’interno di una struttura</w:t>
      </w:r>
      <w:r w:rsidRPr="001374D8">
        <w:rPr>
          <w:rFonts w:eastAsiaTheme="minorHAnsi" w:cstheme="minorBidi"/>
          <w:color w:val="auto"/>
          <w:sz w:val="22"/>
          <w:szCs w:val="22"/>
        </w:rPr>
        <w:t>. Infine, le aree di partizione introducono un ulteriore livello di dettaglio, individuando specifici elementi spaziali all'interno delle partizioni, quali singoli edifici e relativi piani.</w:t>
      </w:r>
    </w:p>
    <w:p w14:paraId="60927A18" w14:textId="264ACBD8" w:rsidR="006D2523" w:rsidRPr="006D2523" w:rsidRDefault="006D2523" w:rsidP="006D2523">
      <w:pPr>
        <w:pStyle w:val="Titolo3"/>
        <w:tabs>
          <w:tab w:val="left" w:pos="1320"/>
        </w:tabs>
        <w:rPr>
          <w:rFonts w:eastAsiaTheme="minorHAnsi" w:cstheme="minorBidi"/>
          <w:color w:val="auto"/>
          <w:sz w:val="22"/>
          <w:szCs w:val="22"/>
        </w:rPr>
      </w:pPr>
      <w:r w:rsidRPr="006D2523">
        <w:rPr>
          <w:rFonts w:eastAsiaTheme="minorHAnsi" w:cstheme="minorBidi"/>
          <w:color w:val="auto"/>
          <w:sz w:val="22"/>
          <w:szCs w:val="22"/>
        </w:rPr>
        <w:t xml:space="preserve">Le attività, invece, sono i progetti assegnati e gestiti dal laboratorio. </w:t>
      </w:r>
      <w:r w:rsidR="0004056F">
        <w:rPr>
          <w:rFonts w:eastAsiaTheme="minorHAnsi" w:cstheme="minorBidi"/>
          <w:color w:val="auto"/>
          <w:sz w:val="22"/>
          <w:szCs w:val="22"/>
        </w:rPr>
        <w:t>Ognuna</w:t>
      </w:r>
      <w:r w:rsidRPr="006D2523">
        <w:rPr>
          <w:rFonts w:eastAsiaTheme="minorHAnsi" w:cstheme="minorBidi"/>
          <w:color w:val="auto"/>
          <w:sz w:val="22"/>
          <w:szCs w:val="22"/>
        </w:rPr>
        <w:t xml:space="preserve"> è caratterizzata da attributi che comprend</w:t>
      </w:r>
      <w:r w:rsidR="0004056F">
        <w:rPr>
          <w:rFonts w:eastAsiaTheme="minorHAnsi" w:cstheme="minorBidi"/>
          <w:color w:val="auto"/>
          <w:sz w:val="22"/>
          <w:szCs w:val="22"/>
        </w:rPr>
        <w:t>ono</w:t>
      </w:r>
      <w:r w:rsidRPr="006D2523">
        <w:rPr>
          <w:rFonts w:eastAsiaTheme="minorHAnsi" w:cstheme="minorBidi"/>
          <w:color w:val="auto"/>
          <w:sz w:val="22"/>
          <w:szCs w:val="22"/>
        </w:rPr>
        <w:t xml:space="preserve"> una tipologia specifica che ne determina la natura e la finalità (ad esempio, progetto di ricerca, monitoraggio, ecc.) e uno stato operativo.</w:t>
      </w:r>
    </w:p>
    <w:p w14:paraId="621C5976" w14:textId="77777777" w:rsidR="006D2523" w:rsidRDefault="006D2523" w:rsidP="006D2523">
      <w:pPr>
        <w:pStyle w:val="Titolo3"/>
        <w:tabs>
          <w:tab w:val="left" w:pos="1320"/>
        </w:tabs>
        <w:rPr>
          <w:rFonts w:eastAsiaTheme="minorHAnsi" w:cstheme="minorBidi"/>
          <w:color w:val="auto"/>
          <w:sz w:val="22"/>
          <w:szCs w:val="22"/>
        </w:rPr>
      </w:pPr>
      <w:r w:rsidRPr="006D2523">
        <w:rPr>
          <w:rFonts w:eastAsiaTheme="minorHAnsi" w:cstheme="minorBidi"/>
          <w:color w:val="auto"/>
          <w:sz w:val="22"/>
          <w:szCs w:val="22"/>
        </w:rPr>
        <w:t xml:space="preserve">Infine, nel blocco degli utenti viene censito il personale autorizzato a interagire con il sistema software e a ciascun profilo viene assegnata una specifica matrice di diritti e permessi operativi. Questa categorizzazione è fondamentale per regolamentare in modo gerarchico i livelli di accesso alle funzionalità di inserimento, modifica o consultazione dei dati, garantendo la sicurezza informatica e l'integrità delle informazioni in conformità con i requisiti ispettivi. </w:t>
      </w:r>
    </w:p>
    <w:p w14:paraId="4E76CB85" w14:textId="5E2F92B7" w:rsidR="000D41F9" w:rsidRDefault="000D41F9" w:rsidP="006D2523">
      <w:pPr>
        <w:pStyle w:val="Titolo3"/>
        <w:tabs>
          <w:tab w:val="left" w:pos="1320"/>
        </w:tabs>
      </w:pPr>
      <w:r>
        <w:t>Liste</w:t>
      </w:r>
      <w:r w:rsidR="00393653">
        <w:tab/>
      </w:r>
    </w:p>
    <w:p w14:paraId="5B0FE8DA" w14:textId="1C0AAA0C" w:rsidR="007D2EE4" w:rsidRDefault="007D2EE4" w:rsidP="007D2EE4">
      <w:r>
        <w:t>Il macro-blocco delle Liste costituisce il dizionario tecnico e il catalogo centralizzato del sistema ENVASS, raccogliendo i parametri chimici, biologici, strumentali e metodologici essenziali per la descrizione e la standardizzazione del progetto di campionamento e delle analisi. Il modulo offre un archivio di voci predefinite e codificate che riducono i tempi di inserimento manuale e garantiscono l'uniformità dei dati secondo le direttive di controllo della qualità.</w:t>
      </w:r>
    </w:p>
    <w:p w14:paraId="0C64E670" w14:textId="77777777" w:rsidR="007D2EE4" w:rsidRDefault="007D2EE4" w:rsidP="007D2EE4">
      <w:r>
        <w:t>Il sistema definisce la configurazione spaziale e operativa dei prelievi tramite i punti di campionamento, che vengono associati a specifiche matrici e a dettagli descrittivi dell'area di indagine.</w:t>
      </w:r>
    </w:p>
    <w:p w14:paraId="15E9181A" w14:textId="77777777" w:rsidR="007D2EE4" w:rsidRDefault="007D2EE4" w:rsidP="007D2EE4">
      <w:r>
        <w:t>Una parte fondamentale del modulo è dedicata al censimento degli strumenti di campionamento. Per ogni apparecchiatura vengono registrati il fornitore, l'utilizzo previsto, le date di acquisto e di attivazione, lo stato operativo e i criteri di accettazione. Per garantire la rintracciabilità metrologica, il software traccia lo stato di approvazione, i dati di taratura, la manutenzione e lo storico delle revisioni periodiche, annotando la data, il tecnico esecutore, il responsabile della verifica e le eventuali note.</w:t>
      </w:r>
    </w:p>
    <w:p w14:paraId="29E46859" w14:textId="1CCD7984" w:rsidR="00393653" w:rsidRPr="004E5C98" w:rsidRDefault="007D2EE4" w:rsidP="007D2EE4">
      <w:r>
        <w:lastRenderedPageBreak/>
        <w:t xml:space="preserve">La standardizzazione delle procedure si basa sulla distinzione e sull'integrazione di due componenti fondamentali: i metodi di campionamento e i metodi di prova. I metodi di campionamento definiscono le operazioni di prelievo sul campo e includono i dati relativi alla matrice, all'ambiente e al parametro, con la loro specifica denominazione. I metodi di prova, invece, governano la fase successiva di analisi in laboratorio, memorizzando le informazioni sulla matrice, sull'ambiente, sul parametro biologico da ricercare, sulla temperatura e sul tempo di incubazione necessari, nonché una descrizione testuale della procedura e il tipo di verbale applicabile. Inoltre, il </w:t>
      </w:r>
      <w:proofErr w:type="spellStart"/>
      <w:r>
        <w:t>macroblocco</w:t>
      </w:r>
      <w:proofErr w:type="spellEnd"/>
      <w:r>
        <w:t xml:space="preserve"> contiene la gestione dei lotti dei materiali di consumo, in cui vengono tracciati il terreno di coltura, il tipo di supporto, il fornitore e la data di scadenza</w:t>
      </w:r>
      <w:r w:rsidR="004E5C98">
        <w:t>.</w:t>
      </w:r>
    </w:p>
    <w:p w14:paraId="11D7CF8B" w14:textId="10BD16E7" w:rsidR="007D2EE4" w:rsidRDefault="007D2EE4" w:rsidP="000D41F9">
      <w:pPr>
        <w:pStyle w:val="Titolo3"/>
        <w:rPr>
          <w:rFonts w:eastAsiaTheme="minorHAnsi" w:cstheme="minorBidi"/>
          <w:color w:val="auto"/>
          <w:sz w:val="22"/>
          <w:szCs w:val="22"/>
        </w:rPr>
      </w:pPr>
      <w:r w:rsidRPr="007D2EE4">
        <w:rPr>
          <w:rFonts w:eastAsiaTheme="minorHAnsi" w:cstheme="minorBidi"/>
          <w:color w:val="auto"/>
          <w:sz w:val="22"/>
          <w:szCs w:val="22"/>
        </w:rPr>
        <w:t>Il modulo contiene tabelle per piastre, microrganismi e antibiotici utilizzati per i test di suscettività e resistenza. La sezione include anche l'elenco delle stanze e le linee guida, che contengono i riferimenti normativi e i limiti di accettabilità associati ai controlli del laboratorio. Infine, sono incluse tabelle secondarie meno rilevanti ma indispensabili alla funzionalità del sistema.</w:t>
      </w:r>
    </w:p>
    <w:p w14:paraId="120299A2" w14:textId="39947E46" w:rsidR="000D41F9" w:rsidRDefault="000D41F9" w:rsidP="000D41F9">
      <w:pPr>
        <w:pStyle w:val="Titolo3"/>
      </w:pPr>
      <w:r>
        <w:t>Verbali</w:t>
      </w:r>
    </w:p>
    <w:p w14:paraId="6D1B4F60" w14:textId="51E16CC1" w:rsidR="00615B6D" w:rsidRPr="00615B6D" w:rsidRDefault="00615B6D" w:rsidP="00615B6D">
      <w:pPr>
        <w:pStyle w:val="Titolo3"/>
        <w:rPr>
          <w:rFonts w:eastAsiaTheme="minorHAnsi" w:cstheme="minorBidi"/>
          <w:color w:val="auto"/>
          <w:sz w:val="22"/>
          <w:szCs w:val="22"/>
        </w:rPr>
      </w:pPr>
      <w:r w:rsidRPr="00615B6D">
        <w:rPr>
          <w:rFonts w:eastAsiaTheme="minorHAnsi" w:cstheme="minorBidi"/>
          <w:color w:val="auto"/>
          <w:sz w:val="22"/>
          <w:szCs w:val="22"/>
        </w:rPr>
        <w:t>Nella parte iniziale del verbale sono riportati i dati anagrafici necessari per raggiungere il luogo del prelievo e un riepilogo generale del monitoraggio da effettuare. Ogni verbale viene generato a partire da una Campagna di campionamento. Questa definisce a monte il committente, l'attività e la struttura di riferimento. Il rapporto tra queste due entità è di tipo uno-a-molti: una singola campagna può contenere più verbali, mentre un verbale appartiene rigorosamente a una sola campagna. Il documento viene creato unendo i dati della campagna, la specifica partizione, l'area di partizione e la tipologia di verbale, che può essere interno o esterno. Questa distinzione stabilisce chi esegue fisicamente il prelievo: se il verbale è interno, il campionamento viene svolto dai tecnici del CIAS; se invece è esterno, viene eseguito da un ente terzo che consegna successivamente i campioni al laboratorio.</w:t>
      </w:r>
    </w:p>
    <w:p w14:paraId="4BC0FD33" w14:textId="77777777" w:rsidR="00615B6D" w:rsidRPr="00615B6D" w:rsidRDefault="00615B6D" w:rsidP="00615B6D">
      <w:pPr>
        <w:pStyle w:val="Titolo3"/>
        <w:rPr>
          <w:rFonts w:eastAsiaTheme="minorHAnsi" w:cstheme="minorBidi"/>
          <w:color w:val="auto"/>
          <w:sz w:val="22"/>
          <w:szCs w:val="22"/>
        </w:rPr>
      </w:pPr>
      <w:r w:rsidRPr="00615B6D">
        <w:rPr>
          <w:rFonts w:eastAsiaTheme="minorHAnsi" w:cstheme="minorBidi"/>
          <w:color w:val="auto"/>
          <w:sz w:val="22"/>
          <w:szCs w:val="22"/>
        </w:rPr>
        <w:t xml:space="preserve">Indipendentemente dalla tipologia scelta, le informazioni contenute nel verbale si suddividono sempre in tre categorie principali. La prima riguarda le stanze, le modalità e i punti di campionamento, definendo con precisione dove, come e cosa viene analizzato. </w:t>
      </w:r>
    </w:p>
    <w:p w14:paraId="375932C0" w14:textId="057F7FD4" w:rsidR="00615B6D" w:rsidRPr="00615B6D" w:rsidRDefault="00615B6D" w:rsidP="00615B6D">
      <w:pPr>
        <w:pStyle w:val="Titolo3"/>
        <w:rPr>
          <w:rFonts w:eastAsiaTheme="minorHAnsi" w:cstheme="minorBidi"/>
          <w:color w:val="auto"/>
          <w:sz w:val="22"/>
          <w:szCs w:val="22"/>
        </w:rPr>
      </w:pPr>
      <w:r w:rsidRPr="00615B6D">
        <w:rPr>
          <w:rFonts w:eastAsiaTheme="minorHAnsi" w:cstheme="minorBidi"/>
          <w:color w:val="auto"/>
          <w:sz w:val="22"/>
          <w:szCs w:val="22"/>
        </w:rPr>
        <w:t xml:space="preserve">La seconda categoria include gli strumenti utilizzati e la planimetria del luogo. La terza categoria è l'accettazione, che viene compilata al rientro dal campionamento per i verbali interni o alla ricezione per quelli esterni, per registrare i dettagli del prelievo e del trasporto appena effettuati. </w:t>
      </w:r>
    </w:p>
    <w:p w14:paraId="02EE27F4" w14:textId="77777777" w:rsidR="00615B6D" w:rsidRDefault="00615B6D" w:rsidP="00615B6D">
      <w:pPr>
        <w:pStyle w:val="Titolo3"/>
        <w:rPr>
          <w:rFonts w:eastAsiaTheme="minorHAnsi" w:cstheme="minorBidi"/>
          <w:color w:val="auto"/>
          <w:sz w:val="22"/>
          <w:szCs w:val="22"/>
        </w:rPr>
      </w:pPr>
      <w:r w:rsidRPr="00615B6D">
        <w:rPr>
          <w:rFonts w:eastAsiaTheme="minorHAnsi" w:cstheme="minorBidi"/>
          <w:color w:val="auto"/>
          <w:sz w:val="22"/>
          <w:szCs w:val="22"/>
        </w:rPr>
        <w:t>Una volta completata la fase di accettazione, il sistema genera automaticamente un documento in formato PDF che funge da attestazione ufficiale e immodificabile dei dati inseriti. Una volta verificata la correttezza delle informazioni, il sistema genera automaticamente i singoli campioni e li inserisce nella sezione dedicata alle analisi.</w:t>
      </w:r>
    </w:p>
    <w:p w14:paraId="35BD50C0" w14:textId="400E62B9" w:rsidR="00BB4CA7" w:rsidRDefault="000D41F9" w:rsidP="00615B6D">
      <w:pPr>
        <w:pStyle w:val="Titolo3"/>
      </w:pPr>
      <w:r>
        <w:t>Analisi</w:t>
      </w:r>
    </w:p>
    <w:p w14:paraId="106FE59E" w14:textId="77777777" w:rsidR="00C42665" w:rsidRDefault="00C42665" w:rsidP="00C42665">
      <w:pPr>
        <w:pStyle w:val="Titolo3"/>
        <w:rPr>
          <w:rFonts w:eastAsiaTheme="minorHAnsi" w:cstheme="minorBidi"/>
          <w:color w:val="auto"/>
          <w:sz w:val="22"/>
          <w:szCs w:val="22"/>
        </w:rPr>
      </w:pPr>
      <w:r w:rsidRPr="00C42665">
        <w:rPr>
          <w:rFonts w:eastAsiaTheme="minorHAnsi" w:cstheme="minorBidi"/>
          <w:color w:val="auto"/>
          <w:sz w:val="22"/>
          <w:szCs w:val="22"/>
        </w:rPr>
        <w:t xml:space="preserve">Il modulo Analisi gestisce la fase sperimentale e diagnostica sui campioni microbiologici generati dal sistema. Per poter essere analizzati, i campioni devono essere sottoposti a un periodo di incubazione a temperatura controllata che permette la crescita delle colonie batteriche, le quali possono poi essere quantificate. La durata di questo periodo dipende dal metodo di prova specifico utilizzato. </w:t>
      </w:r>
    </w:p>
    <w:p w14:paraId="3C19C3AE" w14:textId="25DFA955" w:rsidR="00C42665" w:rsidRPr="00C42665" w:rsidRDefault="00C42665" w:rsidP="00C42665">
      <w:pPr>
        <w:pStyle w:val="Titolo3"/>
        <w:rPr>
          <w:rFonts w:eastAsiaTheme="minorHAnsi" w:cstheme="minorBidi"/>
          <w:color w:val="auto"/>
          <w:sz w:val="22"/>
          <w:szCs w:val="22"/>
        </w:rPr>
      </w:pPr>
      <w:r w:rsidRPr="00C42665">
        <w:rPr>
          <w:rFonts w:eastAsiaTheme="minorHAnsi" w:cstheme="minorBidi"/>
          <w:color w:val="auto"/>
          <w:sz w:val="22"/>
          <w:szCs w:val="22"/>
        </w:rPr>
        <w:t xml:space="preserve">Una volta terminata l'incubazione, si procede alla conta delle colonie cresciute e all'individuazione del tipo di batterio. Questi dati vengono inseriti nel sistema, insieme alla documentazione fotografica, e viene indicato il nome del tecnico che si è occupato dell'analisi, garantendo così la rintracciabilità dell'intera procedura. </w:t>
      </w:r>
    </w:p>
    <w:p w14:paraId="3370AEBF" w14:textId="55DC6B5A" w:rsidR="001242D4" w:rsidRPr="001242D4" w:rsidRDefault="001242D4" w:rsidP="001242D4">
      <w:r w:rsidRPr="001242D4">
        <w:t xml:space="preserve">Il sistema consente di registrare i risultati relativi ai batteri Gram-negativi e alla loro speciazione come test diagnostici aggiuntivi. A causa della loro complessa struttura cellulare, caratterizzata da una membrana </w:t>
      </w:r>
      <w:r w:rsidRPr="001242D4">
        <w:lastRenderedPageBreak/>
        <w:t xml:space="preserve">esterna che ne aumenta la persistenza nell'ambiente e la resistenza agli agenti chimici, questi microrganismi costituiscono un fondamentale indicatore di contaminazione in ambito sanitario. Per garantirne il monitoraggio epidemiologico, il software prevede un campo dedicato in cui l'operatore può inserire il numero di colonie riscontrate. </w:t>
      </w:r>
      <w:r>
        <w:t xml:space="preserve"> </w:t>
      </w:r>
    </w:p>
    <w:p w14:paraId="04254BF5" w14:textId="2FC899AB" w:rsidR="00C42665" w:rsidRDefault="00C42665" w:rsidP="00C42665">
      <w:pPr>
        <w:pStyle w:val="Titolo3"/>
        <w:rPr>
          <w:rFonts w:eastAsiaTheme="minorHAnsi" w:cstheme="minorBidi"/>
          <w:color w:val="auto"/>
          <w:sz w:val="22"/>
          <w:szCs w:val="22"/>
        </w:rPr>
      </w:pPr>
      <w:r w:rsidRPr="00C42665">
        <w:rPr>
          <w:rFonts w:eastAsiaTheme="minorHAnsi" w:cstheme="minorBidi"/>
          <w:color w:val="auto"/>
          <w:sz w:val="22"/>
          <w:szCs w:val="22"/>
        </w:rPr>
        <w:t>Per la speciazione, cioè la divisione in vari tipi di microrganismi, il tecnico sceglie il tipo di microrganismo e indica al sistema se è stato trovato. In caso positivo, è possibile specificare l'esatta specie identificata e la quantità numerica espressa in Unità Formanti Colonia (CFU). Tutti questi dati vengono salvati nel sistema e resi immediatamente disponibili per la stesura del rapporto di prova finale.</w:t>
      </w:r>
    </w:p>
    <w:p w14:paraId="2F7E6792" w14:textId="70C301B4" w:rsidR="00BB4CA7" w:rsidRDefault="000D41F9" w:rsidP="00C42665">
      <w:pPr>
        <w:pStyle w:val="Titolo3"/>
      </w:pPr>
      <w:r>
        <w:t>Rapporti di prova</w:t>
      </w:r>
    </w:p>
    <w:p w14:paraId="097E7831" w14:textId="1F4B6796" w:rsidR="001242D4" w:rsidRDefault="001242D4" w:rsidP="001242D4">
      <w:r>
        <w:t>Il modulo Rapporti di prova gestisce la redazione e l'emissione del documento finale del laboratorio che riepiloga le informazioni sul campionamento e gli esiti delle analisi microbiologiche condotte. Il rapporto di prova si genera a partire dalla selezione delle modalità operative. Al fine di ridurre gli errori manuali e velocizzare il processo, quasi tutte le informazioni necessarie vengono recuperate automaticamente dal sistema; l'unica eccezione riguarda le informazioni di legge nell'appendice, che l'operatore deve selezionare manualmente in base al caso specifico.</w:t>
      </w:r>
    </w:p>
    <w:p w14:paraId="53D59497" w14:textId="77777777" w:rsidR="001242D4" w:rsidRDefault="001242D4" w:rsidP="001242D4">
      <w:r>
        <w:t>Una volta preparato il documento, il tecnico lo sottopone all'approvazione del direttore e del responsabile del laboratorio. Questi ultimi possono approvare il rapporto di prova, rendendolo pronto per la spedizione, oppure rifiutarlo, inserendo una motivazione. In caso di rifiuto, il documento ritorna ai tecnici che, dopo aver apportato le modifiche necessarie, possono inviare una nuova richiesta di approvazione.</w:t>
      </w:r>
    </w:p>
    <w:p w14:paraId="31C28017" w14:textId="45C3B551" w:rsidR="00244199" w:rsidRPr="001242D4" w:rsidRDefault="001242D4" w:rsidP="001242D4">
      <w:r>
        <w:t>La spedizione vera e propria al cliente viene eseguita dal responsabile dei sistemi informativi. Questa operazione attiva un blocco automatico e definitivo su tutte le informazioni associate al rapporto di prova, impedendo qualsiasi modifica successiva e garantendo l'integrità del dato. Se dopo il blocco ci si accorge di eventuali errori, il sistema non permette in alcun modo di sbloccare il documento originale. Per rimediare, è possibile creare una copia correttiva, una funzione che consente di modificare i dati precedentemente bloccati, generando un nuovo documento e lasciando comunque intatto e storicizzato il rapporto di prova iniziale da cui è stata tratta la copia.</w:t>
      </w:r>
    </w:p>
    <w:p w14:paraId="7A7840D7" w14:textId="77777777" w:rsidR="00D6632C" w:rsidRDefault="00D6632C" w:rsidP="00BB4CA7"/>
    <w:p w14:paraId="5E2A5B58" w14:textId="43B5539A" w:rsidR="00D6632C" w:rsidRDefault="001D2889" w:rsidP="00D6632C">
      <w:pPr>
        <w:pStyle w:val="Titolo2"/>
      </w:pPr>
      <w:proofErr w:type="spellStart"/>
      <w:r>
        <w:t>Logging</w:t>
      </w:r>
      <w:proofErr w:type="spellEnd"/>
    </w:p>
    <w:p w14:paraId="5820D8F4" w14:textId="77777777" w:rsidR="00E11087" w:rsidRPr="00E11087" w:rsidRDefault="00E11087" w:rsidP="00E11087">
      <w:pPr>
        <w:rPr>
          <w:u w:val="single"/>
        </w:rPr>
      </w:pPr>
      <w:r>
        <w:t xml:space="preserve">Il sistema di audit </w:t>
      </w:r>
      <w:proofErr w:type="spellStart"/>
      <w:r>
        <w:t>logging</w:t>
      </w:r>
      <w:proofErr w:type="spellEnd"/>
      <w:r>
        <w:t xml:space="preserve"> è progettato specificamente per garantire l'integrità dei dati, la responsabilità delle operazioni e il rispetto dei severi requisiti di tracciabilità imposti dall'ente di accreditamento Accredia. Il modulo ha il compito di monitorare e registrare in modo permanente qualsiasi operazione di creazione o modifica effettuata sugli oggetti del database. Per ogni evento, il sistema verifica e memorizza tre informazioni essenziali: l'identità dell'utente che ha compiuto l'azione (chi), il dettaglio dei campi modificati con i relativi valori (cosa) e la data e l'ora dell'operazione (quando).</w:t>
      </w:r>
    </w:p>
    <w:p w14:paraId="7F2FE1F4" w14:textId="77777777" w:rsidR="00E11087" w:rsidRDefault="00E11087" w:rsidP="00E11087">
      <w:r>
        <w:t xml:space="preserve">Il sistema di </w:t>
      </w:r>
      <w:proofErr w:type="spellStart"/>
      <w:r>
        <w:t>logging</w:t>
      </w:r>
      <w:proofErr w:type="spellEnd"/>
      <w:r>
        <w:t xml:space="preserve"> è strutturato in cinque sezioni specifiche:</w:t>
      </w:r>
    </w:p>
    <w:p w14:paraId="6AFC3B42" w14:textId="70891DEF" w:rsidR="00E11087" w:rsidRDefault="00E11087" w:rsidP="00E11087">
      <w:pPr>
        <w:pStyle w:val="Paragrafoelenco"/>
        <w:numPr>
          <w:ilvl w:val="0"/>
          <w:numId w:val="13"/>
        </w:numPr>
      </w:pPr>
      <w:r>
        <w:t>Liste e Anagrafica: monitora le variazioni dei dati di base del sistema. Il sistema registra la storia di tutte le modifiche fatte nel tempo a ogni oggetto (per esempio un committente, una struttura o un lotto di consumo nelle liste).</w:t>
      </w:r>
    </w:p>
    <w:p w14:paraId="697A4949" w14:textId="7EA05CE8" w:rsidR="00E11087" w:rsidRDefault="00E11087" w:rsidP="00E11087">
      <w:pPr>
        <w:pStyle w:val="Paragrafoelenco"/>
        <w:numPr>
          <w:ilvl w:val="0"/>
          <w:numId w:val="13"/>
        </w:numPr>
      </w:pPr>
      <w:r>
        <w:t>Verbali: traccia l'intero ciclo di vita del documento operativo, registrando ogni modifica apportata alle informazioni logistiche, alle aree di campionamento o alle impostazioni iniziali del verbale specifico;</w:t>
      </w:r>
    </w:p>
    <w:p w14:paraId="135A6E88" w14:textId="44104E96" w:rsidR="00E11087" w:rsidRDefault="00E11087" w:rsidP="00E11087">
      <w:pPr>
        <w:pStyle w:val="Paragrafoelenco"/>
        <w:numPr>
          <w:ilvl w:val="0"/>
          <w:numId w:val="13"/>
        </w:numPr>
      </w:pPr>
      <w:r>
        <w:lastRenderedPageBreak/>
        <w:t>Analisi: registra in modo granulare tutte le modifiche effettuate sui singoli campioni biologici associati a un determinato verbale, monitorando l'inserimento o la revisione dei dati critici, come la conta delle colonie, i risultati dei test sui batteri Gram-negativi e i parametri di speciazione.</w:t>
      </w:r>
    </w:p>
    <w:p w14:paraId="0F4F184C" w14:textId="214A7B1D" w:rsidR="00E11087" w:rsidRDefault="00E11087" w:rsidP="00E11087">
      <w:pPr>
        <w:pStyle w:val="Paragrafoelenco"/>
        <w:numPr>
          <w:ilvl w:val="0"/>
          <w:numId w:val="13"/>
        </w:numPr>
      </w:pPr>
      <w:r>
        <w:t>Rapporti di prova (Test Report): monitora la cronologia delle modifiche di ogni rapporto di prova specifico durante le fasi di redazione, richiesta di approvazione, rifiuto o emissione della copia correttiva.</w:t>
      </w:r>
    </w:p>
    <w:p w14:paraId="29EE6F22" w14:textId="3A718BB5" w:rsidR="00276380" w:rsidRPr="00276380" w:rsidRDefault="00E11087" w:rsidP="00E11087">
      <w:pPr>
        <w:pStyle w:val="Paragrafoelenco"/>
        <w:numPr>
          <w:ilvl w:val="0"/>
          <w:numId w:val="13"/>
        </w:numPr>
      </w:pPr>
      <w:r>
        <w:t>Autenticazione (Login): gestisce il monitoraggio della sicurezza e degli accessi alla piattaforma. Questa sezione registra ogni evento di accesso andato a buon fine, ogni tentativo fallito e ogni operazione di logout. Oltre all'utente e all'orario, il sistema memorizza l'indirizzo IP del dispositivo</w:t>
      </w:r>
      <w:r w:rsidR="00276380" w:rsidRPr="00276380">
        <w:t xml:space="preserve"> mittente e l'interfaccia del browser utilizzato (user agent) per identificare l'origine dell'accesso.</w:t>
      </w:r>
    </w:p>
    <w:p w14:paraId="5C6267EF" w14:textId="77777777" w:rsidR="00D6632C" w:rsidRPr="00244199" w:rsidRDefault="00D6632C" w:rsidP="00BB4CA7"/>
    <w:sectPr w:rsidR="00D6632C" w:rsidRPr="002441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98D"/>
    <w:multiLevelType w:val="hybridMultilevel"/>
    <w:tmpl w:val="FEAA54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A517F0C"/>
    <w:multiLevelType w:val="hybridMultilevel"/>
    <w:tmpl w:val="A7DE7F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DF05915"/>
    <w:multiLevelType w:val="hybridMultilevel"/>
    <w:tmpl w:val="A6EE9A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A2638CE"/>
    <w:multiLevelType w:val="multilevel"/>
    <w:tmpl w:val="C93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957D1"/>
    <w:multiLevelType w:val="hybridMultilevel"/>
    <w:tmpl w:val="D25A3CA8"/>
    <w:lvl w:ilvl="0" w:tplc="C022720C">
      <w:start w:val="1"/>
      <w:numFmt w:val="decimal"/>
      <w:lvlText w:val="%1."/>
      <w:lvlJc w:val="left"/>
      <w:pPr>
        <w:ind w:left="1068" w:hanging="708"/>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D641EE9"/>
    <w:multiLevelType w:val="multilevel"/>
    <w:tmpl w:val="242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93C04"/>
    <w:multiLevelType w:val="multilevel"/>
    <w:tmpl w:val="67F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90C39"/>
    <w:multiLevelType w:val="hybridMultilevel"/>
    <w:tmpl w:val="0F3CBE7E"/>
    <w:lvl w:ilvl="0" w:tplc="C022720C">
      <w:start w:val="1"/>
      <w:numFmt w:val="decimal"/>
      <w:lvlText w:val="%1."/>
      <w:lvlJc w:val="left"/>
      <w:pPr>
        <w:ind w:left="1068" w:hanging="708"/>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4B94E3A"/>
    <w:multiLevelType w:val="hybridMultilevel"/>
    <w:tmpl w:val="F70E74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E601B28"/>
    <w:multiLevelType w:val="multilevel"/>
    <w:tmpl w:val="0D6C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552EF"/>
    <w:multiLevelType w:val="hybridMultilevel"/>
    <w:tmpl w:val="706674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D8D708D"/>
    <w:multiLevelType w:val="hybridMultilevel"/>
    <w:tmpl w:val="D11472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FBB6EE7"/>
    <w:multiLevelType w:val="multilevel"/>
    <w:tmpl w:val="DE2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405235">
    <w:abstractNumId w:val="10"/>
  </w:num>
  <w:num w:numId="2" w16cid:durableId="206575433">
    <w:abstractNumId w:val="3"/>
  </w:num>
  <w:num w:numId="3" w16cid:durableId="51008602">
    <w:abstractNumId w:val="12"/>
  </w:num>
  <w:num w:numId="4" w16cid:durableId="1632900915">
    <w:abstractNumId w:val="6"/>
  </w:num>
  <w:num w:numId="5" w16cid:durableId="1483086268">
    <w:abstractNumId w:val="5"/>
  </w:num>
  <w:num w:numId="6" w16cid:durableId="1086153247">
    <w:abstractNumId w:val="2"/>
  </w:num>
  <w:num w:numId="7" w16cid:durableId="1903327519">
    <w:abstractNumId w:val="11"/>
  </w:num>
  <w:num w:numId="8" w16cid:durableId="2025864402">
    <w:abstractNumId w:val="0"/>
  </w:num>
  <w:num w:numId="9" w16cid:durableId="1939098308">
    <w:abstractNumId w:val="9"/>
  </w:num>
  <w:num w:numId="10" w16cid:durableId="1768190119">
    <w:abstractNumId w:val="1"/>
  </w:num>
  <w:num w:numId="11" w16cid:durableId="146435088">
    <w:abstractNumId w:val="4"/>
  </w:num>
  <w:num w:numId="12" w16cid:durableId="1453013344">
    <w:abstractNumId w:val="7"/>
  </w:num>
  <w:num w:numId="13" w16cid:durableId="221528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B1"/>
    <w:rsid w:val="0001648A"/>
    <w:rsid w:val="0004056F"/>
    <w:rsid w:val="000524AB"/>
    <w:rsid w:val="000C1816"/>
    <w:rsid w:val="000D41F9"/>
    <w:rsid w:val="00112935"/>
    <w:rsid w:val="001242D4"/>
    <w:rsid w:val="001374D8"/>
    <w:rsid w:val="0015558B"/>
    <w:rsid w:val="00167630"/>
    <w:rsid w:val="001A74BE"/>
    <w:rsid w:val="001D2889"/>
    <w:rsid w:val="001F40BE"/>
    <w:rsid w:val="00244199"/>
    <w:rsid w:val="00255378"/>
    <w:rsid w:val="00276380"/>
    <w:rsid w:val="00297039"/>
    <w:rsid w:val="002A16A4"/>
    <w:rsid w:val="002B774C"/>
    <w:rsid w:val="0031521E"/>
    <w:rsid w:val="003824BE"/>
    <w:rsid w:val="00393653"/>
    <w:rsid w:val="003A720D"/>
    <w:rsid w:val="003C51CC"/>
    <w:rsid w:val="003D7134"/>
    <w:rsid w:val="003E2910"/>
    <w:rsid w:val="00445DDA"/>
    <w:rsid w:val="004A561A"/>
    <w:rsid w:val="004D1A2A"/>
    <w:rsid w:val="004E5C98"/>
    <w:rsid w:val="00516F4C"/>
    <w:rsid w:val="00547B23"/>
    <w:rsid w:val="005536FC"/>
    <w:rsid w:val="005E133C"/>
    <w:rsid w:val="00615B6D"/>
    <w:rsid w:val="00616BCA"/>
    <w:rsid w:val="006D2523"/>
    <w:rsid w:val="006E2734"/>
    <w:rsid w:val="00701F97"/>
    <w:rsid w:val="007751B1"/>
    <w:rsid w:val="00797933"/>
    <w:rsid w:val="007A1674"/>
    <w:rsid w:val="007D2EE4"/>
    <w:rsid w:val="008021FD"/>
    <w:rsid w:val="00817A82"/>
    <w:rsid w:val="00831C32"/>
    <w:rsid w:val="008508E8"/>
    <w:rsid w:val="00863DD1"/>
    <w:rsid w:val="00883823"/>
    <w:rsid w:val="00925100"/>
    <w:rsid w:val="00975251"/>
    <w:rsid w:val="009B6B21"/>
    <w:rsid w:val="00AD2D40"/>
    <w:rsid w:val="00AD377E"/>
    <w:rsid w:val="00AF2FD6"/>
    <w:rsid w:val="00AF4B3F"/>
    <w:rsid w:val="00B15938"/>
    <w:rsid w:val="00BB4CA7"/>
    <w:rsid w:val="00BC2A50"/>
    <w:rsid w:val="00C42665"/>
    <w:rsid w:val="00CB2ECE"/>
    <w:rsid w:val="00CE70D5"/>
    <w:rsid w:val="00D278A9"/>
    <w:rsid w:val="00D349B2"/>
    <w:rsid w:val="00D6632C"/>
    <w:rsid w:val="00D865FE"/>
    <w:rsid w:val="00DF16A3"/>
    <w:rsid w:val="00E11087"/>
    <w:rsid w:val="00ED51E1"/>
    <w:rsid w:val="00EE6687"/>
    <w:rsid w:val="00EE6AEB"/>
    <w:rsid w:val="00F21841"/>
    <w:rsid w:val="00F65B38"/>
    <w:rsid w:val="00FB76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4CF8"/>
  <w15:chartTrackingRefBased/>
  <w15:docId w15:val="{6EF19229-5BA8-4BC6-9165-1EAE2D6B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6B21"/>
  </w:style>
  <w:style w:type="paragraph" w:styleId="Titolo1">
    <w:name w:val="heading 1"/>
    <w:basedOn w:val="Normale"/>
    <w:next w:val="Normale"/>
    <w:link w:val="Titolo1Carattere"/>
    <w:uiPriority w:val="9"/>
    <w:qFormat/>
    <w:rsid w:val="00775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775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7751B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751B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751B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751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51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51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51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751B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7751B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7751B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751B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751B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751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51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51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51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5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51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51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51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51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51B1"/>
    <w:rPr>
      <w:i/>
      <w:iCs/>
      <w:color w:val="404040" w:themeColor="text1" w:themeTint="BF"/>
    </w:rPr>
  </w:style>
  <w:style w:type="paragraph" w:styleId="Paragrafoelenco">
    <w:name w:val="List Paragraph"/>
    <w:basedOn w:val="Normale"/>
    <w:uiPriority w:val="34"/>
    <w:qFormat/>
    <w:rsid w:val="007751B1"/>
    <w:pPr>
      <w:ind w:left="720"/>
      <w:contextualSpacing/>
    </w:pPr>
  </w:style>
  <w:style w:type="character" w:styleId="Enfasiintensa">
    <w:name w:val="Intense Emphasis"/>
    <w:basedOn w:val="Carpredefinitoparagrafo"/>
    <w:uiPriority w:val="21"/>
    <w:qFormat/>
    <w:rsid w:val="007751B1"/>
    <w:rPr>
      <w:i/>
      <w:iCs/>
      <w:color w:val="2F5496" w:themeColor="accent1" w:themeShade="BF"/>
    </w:rPr>
  </w:style>
  <w:style w:type="paragraph" w:styleId="Citazioneintensa">
    <w:name w:val="Intense Quote"/>
    <w:basedOn w:val="Normale"/>
    <w:next w:val="Normale"/>
    <w:link w:val="CitazioneintensaCarattere"/>
    <w:uiPriority w:val="30"/>
    <w:qFormat/>
    <w:rsid w:val="00775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751B1"/>
    <w:rPr>
      <w:i/>
      <w:iCs/>
      <w:color w:val="2F5496" w:themeColor="accent1" w:themeShade="BF"/>
    </w:rPr>
  </w:style>
  <w:style w:type="character" w:styleId="Riferimentointenso">
    <w:name w:val="Intense Reference"/>
    <w:basedOn w:val="Carpredefinitoparagrafo"/>
    <w:uiPriority w:val="32"/>
    <w:qFormat/>
    <w:rsid w:val="007751B1"/>
    <w:rPr>
      <w:b/>
      <w:bCs/>
      <w:smallCaps/>
      <w:color w:val="2F5496" w:themeColor="accent1" w:themeShade="BF"/>
      <w:spacing w:val="5"/>
    </w:rPr>
  </w:style>
  <w:style w:type="character" w:styleId="Collegamentoipertestuale">
    <w:name w:val="Hyperlink"/>
    <w:basedOn w:val="Carpredefinitoparagrafo"/>
    <w:uiPriority w:val="99"/>
    <w:unhideWhenUsed/>
    <w:rsid w:val="00244199"/>
    <w:rPr>
      <w:color w:val="0563C1" w:themeColor="hyperlink"/>
      <w:u w:val="single"/>
    </w:rPr>
  </w:style>
  <w:style w:type="character" w:styleId="Menzionenonrisolta">
    <w:name w:val="Unresolved Mention"/>
    <w:basedOn w:val="Carpredefinitoparagrafo"/>
    <w:uiPriority w:val="99"/>
    <w:semiHidden/>
    <w:unhideWhenUsed/>
    <w:rsid w:val="00244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30754-E3BF-4AFE-A9CA-71DB29178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5</Pages>
  <Words>2396</Words>
  <Characters>13661</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2026-06-10T13:21:00Z</dcterms:created>
  <dcterms:modified xsi:type="dcterms:W3CDTF">2026-06-23T15:09:00Z</dcterms:modified>
</cp:coreProperties>
</file>