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charts/chart5.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jc w:val="center"/>
        <w:rPr>
          <w:rFonts w:ascii="Calibri" w:hAnsi="Calibri"/>
          <w:sz w:val="24"/>
          <w:szCs w:val="24"/>
          <w:lang w:val="el-GR"/>
        </w:rPr>
      </w:pPr>
      <w:r>
        <w:rPr>
          <w:rFonts w:ascii="Calibri" w:hAnsi="Calibri"/>
          <w:sz w:val="24"/>
          <w:szCs w:val="24"/>
          <w:lang w:val="el-GR"/>
        </w:rPr>
        <w:t>Αναπτυξιακές δυνατότητες και προοπτικές</w:t>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t>1. Αξιολόγηση θέσης και ρόλου του Δήμου στη Μητροπολιτική περιοχή Θεσσαλονίκης</w:t>
      </w:r>
    </w:p>
    <w:p>
      <w:pPr>
        <w:pStyle w:val="Textbody1"/>
        <w:spacing w:lineRule="auto" w:line="240"/>
        <w:rPr>
          <w:rFonts w:ascii="Calibri" w:hAnsi="Calibri"/>
          <w:sz w:val="24"/>
          <w:szCs w:val="24"/>
          <w:lang w:val="el-GR"/>
        </w:rPr>
      </w:pPr>
      <w:r>
        <w:rPr>
          <w:rFonts w:ascii="Calibri" w:hAnsi="Calibri"/>
          <w:sz w:val="24"/>
          <w:szCs w:val="24"/>
          <w:lang w:val="el-GR"/>
        </w:rPr>
      </w:r>
    </w:p>
    <w:p>
      <w:pPr>
        <w:pStyle w:val="Textbody1"/>
        <w:spacing w:lineRule="auto" w:line="240"/>
        <w:rPr>
          <w:rFonts w:ascii="Calibri" w:hAnsi="Calibri"/>
          <w:sz w:val="24"/>
          <w:szCs w:val="24"/>
        </w:rPr>
      </w:pPr>
      <w:r>
        <w:rPr>
          <w:rFonts w:ascii="Calibri" w:hAnsi="Calibri"/>
          <w:sz w:val="24"/>
          <w:szCs w:val="24"/>
          <w:lang w:val="el-GR"/>
        </w:rPr>
        <w:t xml:space="preserve">Ο Δήμος Παύλου Μελά σχηματίστηκε μετά τη διοικητική μεταρρύθμιση, που εισήγαγε το σχέδιο Καλλικράτης, από τη συνένωση των όμορων δήμων Σταυρούπολης, Πολίχνης και Ευκαρπίας. Βρίσκεται στη βορειοδυτική πλευρά του πολεοδομικού συγκροτήματος της Θεσσαλονίκης και έχει συνολικό μόνιμο πληθυσμό 99.240 άτομα και έκταση 23.763 στρέμματα. Ένα μεγάλο κομμάτι χαρακτηρίζεται ως πυκνοκατοικημένη αστική περιοχή, καθώς την περιοχή διατρέχουν μεγάλοι και σημαντικοί οδικοί άξονες της Θεσσαλονίκης, όπως εσωτερική περιφερειακή, Εγνατία οδός και οδός Λαγκαδά. Επιπλέον, στο βόρειο τμήμα και εκατέρωθεν της οδού Λαγκαδά, εντοπίζονται βιομηχανικές λειτουργίες και εμπορικές εγκαταστάσεις, καθώς και δύο νοσοκομεία περιφερειακής εμβέλειας, το 424 Γενικό Στρατιωτικό Νοσοκομείο και το Γενικό Νοσοκομείο Παπαγεωργίου, ενώ στο ανατολικό τμήμα </w:t>
      </w:r>
      <w:r>
        <w:rPr>
          <w:rFonts w:ascii="Calibri" w:hAnsi="Calibri"/>
          <w:sz w:val="24"/>
          <w:szCs w:val="24"/>
          <w:lang w:val="el-GR"/>
        </w:rPr>
        <w:t>παρατηρείται συγκέντρωση</w:t>
      </w:r>
      <w:r>
        <w:rPr>
          <w:rFonts w:ascii="Calibri" w:hAnsi="Calibri"/>
          <w:sz w:val="24"/>
          <w:szCs w:val="24"/>
          <w:lang w:val="el-GR"/>
        </w:rPr>
        <w:t xml:space="preserve"> πράσιν</w:t>
      </w:r>
      <w:r>
        <w:rPr>
          <w:rFonts w:ascii="Calibri" w:hAnsi="Calibri"/>
          <w:sz w:val="24"/>
          <w:szCs w:val="24"/>
          <w:lang w:val="el-GR"/>
        </w:rPr>
        <w:t>ων</w:t>
      </w:r>
      <w:r>
        <w:rPr>
          <w:rFonts w:ascii="Calibri" w:hAnsi="Calibri"/>
          <w:sz w:val="24"/>
          <w:szCs w:val="24"/>
          <w:lang w:val="el-GR"/>
        </w:rPr>
        <w:t xml:space="preserve"> εκτάσε</w:t>
      </w:r>
      <w:r>
        <w:rPr>
          <w:rFonts w:ascii="Calibri" w:hAnsi="Calibri"/>
          <w:sz w:val="24"/>
          <w:szCs w:val="24"/>
          <w:lang w:val="el-GR"/>
        </w:rPr>
        <w:t>ων</w:t>
      </w:r>
      <w:r>
        <w:rPr>
          <w:rFonts w:ascii="Calibri" w:hAnsi="Calibri"/>
          <w:sz w:val="24"/>
          <w:szCs w:val="24"/>
          <w:lang w:val="el-GR"/>
        </w:rPr>
        <w:t>.</w:t>
      </w:r>
    </w:p>
    <w:p>
      <w:pPr>
        <w:pStyle w:val="Textbody1"/>
        <w:spacing w:lineRule="auto" w:line="240"/>
        <w:rPr>
          <w:rFonts w:ascii="Calibri" w:hAnsi="Calibri"/>
          <w:sz w:val="24"/>
          <w:szCs w:val="24"/>
          <w:lang w:val="el-GR"/>
        </w:rPr>
      </w:pPr>
      <w:r>
        <w:rPr>
          <w:rFonts w:ascii="Calibri" w:hAnsi="Calibri"/>
          <w:sz w:val="24"/>
          <w:szCs w:val="24"/>
          <w:lang w:val="el-GR"/>
        </w:rPr>
      </w:r>
    </w:p>
    <w:p>
      <w:pPr>
        <w:pStyle w:val="Textbody1"/>
        <w:spacing w:lineRule="auto" w:line="240"/>
        <w:jc w:val="center"/>
        <w:rPr>
          <w:rFonts w:ascii="Calibri" w:hAnsi="Calibri"/>
          <w:sz w:val="24"/>
          <w:szCs w:val="24"/>
        </w:rPr>
      </w:pPr>
      <w:r>
        <w:rPr>
          <w:rFonts w:ascii="Calibri" w:hAnsi="Calibri"/>
          <w:sz w:val="24"/>
          <w:szCs w:val="24"/>
        </w:rPr>
        <w:drawing>
          <wp:inline distT="0" distB="0" distL="0" distR="3810">
            <wp:extent cx="2910840" cy="2409825"/>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2"/>
                    <a:stretch>
                      <a:fillRect/>
                    </a:stretch>
                  </pic:blipFill>
                  <pic:spPr bwMode="auto">
                    <a:xfrm>
                      <a:off x="0" y="0"/>
                      <a:ext cx="2910840" cy="2409825"/>
                    </a:xfrm>
                    <a:prstGeom prst="rect">
                      <a:avLst/>
                    </a:prstGeom>
                  </pic:spPr>
                </pic:pic>
              </a:graphicData>
            </a:graphic>
          </wp:inline>
        </w:drawing>
      </w:r>
    </w:p>
    <w:p>
      <w:pPr>
        <w:pStyle w:val="Textbody1"/>
        <w:spacing w:lineRule="auto" w:line="240"/>
        <w:jc w:val="center"/>
        <w:rPr>
          <w:rFonts w:ascii="Calibri" w:hAnsi="Calibri"/>
          <w:sz w:val="24"/>
          <w:szCs w:val="24"/>
        </w:rPr>
      </w:pPr>
      <w:r>
        <w:rPr>
          <w:rFonts w:ascii="Calibri" w:hAnsi="Calibri"/>
          <w:sz w:val="24"/>
          <w:szCs w:val="24"/>
          <w:lang w:val="el-GR"/>
        </w:rPr>
        <w:t>Εικόνα 1</w:t>
      </w:r>
      <w:r>
        <w:rPr>
          <w:rFonts w:ascii="Calibri" w:hAnsi="Calibri"/>
          <w:sz w:val="24"/>
          <w:szCs w:val="24"/>
        </w:rPr>
        <w:t xml:space="preserve">: </w:t>
      </w:r>
      <w:r>
        <w:rPr>
          <w:rFonts w:ascii="Calibri" w:hAnsi="Calibri"/>
          <w:sz w:val="24"/>
          <w:szCs w:val="24"/>
          <w:lang w:val="el-GR"/>
        </w:rPr>
        <w:t>Δήμος Παύλου Μελά</w:t>
      </w:r>
    </w:p>
    <w:p>
      <w:pPr>
        <w:pStyle w:val="Textbody1"/>
        <w:spacing w:lineRule="auto" w:line="240"/>
        <w:jc w:val="center"/>
        <w:rPr>
          <w:rFonts w:ascii="Calibri" w:hAnsi="Calibri"/>
          <w:sz w:val="24"/>
          <w:szCs w:val="24"/>
        </w:rPr>
      </w:pPr>
      <w:r>
        <w:rPr>
          <w:rFonts w:ascii="Calibri" w:hAnsi="Calibri"/>
          <w:sz w:val="24"/>
          <w:szCs w:val="24"/>
          <w:lang w:val="el-GR"/>
        </w:rPr>
        <w:t>Πηγή</w:t>
      </w:r>
      <w:r>
        <w:rPr>
          <w:rFonts w:ascii="Calibri" w:hAnsi="Calibri"/>
          <w:sz w:val="24"/>
          <w:szCs w:val="24"/>
        </w:rPr>
        <w:t>: Google Maps</w:t>
      </w:r>
    </w:p>
    <w:p>
      <w:pPr>
        <w:pStyle w:val="Textbody1"/>
        <w:spacing w:lineRule="auto" w:line="240"/>
        <w:jc w:val="center"/>
        <w:rPr>
          <w:rFonts w:ascii="Calibri" w:hAnsi="Calibri"/>
          <w:sz w:val="24"/>
          <w:szCs w:val="24"/>
        </w:rPr>
      </w:pPr>
      <w:r>
        <w:rPr>
          <w:rFonts w:ascii="Calibri" w:hAnsi="Calibri"/>
          <w:sz w:val="24"/>
          <w:szCs w:val="24"/>
        </w:rPr>
      </w:r>
    </w:p>
    <w:p>
      <w:pPr>
        <w:pStyle w:val="Textbody1"/>
        <w:rPr>
          <w:rFonts w:ascii="Calibri" w:hAnsi="Calibri"/>
          <w:sz w:val="24"/>
          <w:szCs w:val="24"/>
        </w:rPr>
      </w:pPr>
      <w:r>
        <w:rPr>
          <w:rFonts w:ascii="Calibri" w:hAnsi="Calibri"/>
          <w:sz w:val="24"/>
          <w:szCs w:val="24"/>
          <w:lang w:val="el-GR"/>
        </w:rPr>
        <w:t>Μετά από επεξεργασία δεδομένων</w:t>
      </w:r>
      <w:r>
        <w:rPr>
          <w:rFonts w:ascii="Calibri" w:hAnsi="Calibri"/>
          <w:sz w:val="24"/>
          <w:szCs w:val="24"/>
          <w:lang w:val="el-GR"/>
        </w:rPr>
        <w:t xml:space="preserve"> προκύπτει ότι </w:t>
      </w:r>
      <w:r>
        <w:rPr>
          <w:rFonts w:ascii="Calibri" w:hAnsi="Calibri"/>
          <w:sz w:val="24"/>
          <w:szCs w:val="24"/>
          <w:lang w:val="el-GR"/>
        </w:rPr>
        <w:t xml:space="preserve">για το έτος 2018 </w:t>
      </w:r>
      <w:r>
        <w:rPr>
          <w:rFonts w:ascii="Calibri" w:hAnsi="Calibri"/>
          <w:sz w:val="24"/>
          <w:szCs w:val="24"/>
          <w:lang w:val="el-GR"/>
        </w:rPr>
        <w:t>το 6</w:t>
      </w:r>
      <w:r>
        <w:rPr>
          <w:rFonts w:ascii="Calibri" w:hAnsi="Calibri"/>
          <w:sz w:val="24"/>
          <w:szCs w:val="24"/>
          <w:lang w:val="el-GR"/>
        </w:rPr>
        <w:t>8</w:t>
      </w:r>
      <w:r>
        <w:rPr>
          <w:rFonts w:ascii="Calibri" w:hAnsi="Calibri"/>
          <w:sz w:val="24"/>
          <w:szCs w:val="24"/>
          <w:lang w:val="el-GR"/>
        </w:rPr>
        <w:t xml:space="preserve">% της περιοχής αποτελείται από τεχνητές επιφάνειες, ενώ οι γεωργικές επιφάνειες καλύπτουν </w:t>
      </w:r>
      <w:r>
        <w:rPr>
          <w:rFonts w:ascii="Calibri" w:hAnsi="Calibri"/>
          <w:sz w:val="24"/>
          <w:szCs w:val="24"/>
          <w:lang w:val="el-GR"/>
        </w:rPr>
        <w:t>10</w:t>
      </w:r>
      <w:r>
        <w:rPr>
          <w:rFonts w:ascii="Calibri" w:hAnsi="Calibri"/>
          <w:sz w:val="24"/>
          <w:szCs w:val="24"/>
          <w:lang w:val="el-GR"/>
        </w:rPr>
        <w:t xml:space="preserve">% και οι δασικές εκτάσεις </w:t>
      </w:r>
      <w:r>
        <w:rPr>
          <w:rFonts w:ascii="Calibri" w:hAnsi="Calibri"/>
          <w:sz w:val="24"/>
          <w:szCs w:val="24"/>
          <w:lang w:val="el-GR"/>
        </w:rPr>
        <w:t>22</w:t>
      </w:r>
      <w:r>
        <w:rPr>
          <w:rFonts w:ascii="Calibri" w:hAnsi="Calibri"/>
          <w:sz w:val="24"/>
          <w:szCs w:val="24"/>
          <w:lang w:val="el-GR"/>
        </w:rPr>
        <w:t xml:space="preserve">% </w:t>
      </w:r>
      <w:r>
        <w:rPr>
          <w:rFonts w:ascii="Calibri" w:hAnsi="Calibri"/>
          <w:sz w:val="24"/>
          <w:szCs w:val="24"/>
          <w:lang w:val="el-GR"/>
        </w:rPr>
        <w:t>αντίστοιχα</w:t>
      </w:r>
      <w:r>
        <w:rPr>
          <w:rFonts w:ascii="Calibri" w:hAnsi="Calibri"/>
          <w:sz w:val="24"/>
          <w:szCs w:val="24"/>
          <w:lang w:val="el-GR"/>
        </w:rPr>
        <w:t xml:space="preserve">. </w:t>
      </w:r>
      <w:r>
        <w:rPr>
          <w:rFonts w:ascii="Calibri" w:hAnsi="Calibri"/>
          <w:sz w:val="24"/>
          <w:szCs w:val="24"/>
          <w:lang w:val="el-GR"/>
        </w:rPr>
        <w:t>Αυτό αποτυπώνεται και στον παρακάτω χάρτη.</w:t>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rPr>
      </w:pPr>
      <w:r>
        <w:rPr>
          <w:rFonts w:ascii="Calibri" w:hAnsi="Calibri"/>
          <w:sz w:val="24"/>
          <w:szCs w:val="24"/>
        </w:rPr>
        <w:drawing>
          <wp:inline distT="0" distB="9525" distL="0" distR="9525">
            <wp:extent cx="6105525" cy="271462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rcRect l="-170" t="-384" r="-170" b="-384"/>
                    <a:stretch>
                      <a:fillRect/>
                    </a:stretch>
                  </pic:blipFill>
                  <pic:spPr bwMode="auto">
                    <a:xfrm>
                      <a:off x="0" y="0"/>
                      <a:ext cx="6105525" cy="2714625"/>
                    </a:xfrm>
                    <a:prstGeom prst="rect">
                      <a:avLst/>
                    </a:prstGeom>
                  </pic:spPr>
                </pic:pic>
              </a:graphicData>
            </a:graphic>
          </wp:inline>
        </w:drawing>
      </w:r>
    </w:p>
    <w:p>
      <w:pPr>
        <w:pStyle w:val="Textbody1"/>
        <w:jc w:val="center"/>
        <w:rPr>
          <w:rFonts w:ascii="Calibri" w:hAnsi="Calibri"/>
          <w:sz w:val="24"/>
          <w:szCs w:val="24"/>
          <w:lang w:val="el-GR"/>
        </w:rPr>
      </w:pPr>
      <w:r>
        <w:rPr>
          <w:rFonts w:ascii="Calibri" w:hAnsi="Calibri"/>
          <w:sz w:val="24"/>
          <w:szCs w:val="24"/>
          <w:lang w:val="el-GR"/>
        </w:rPr>
        <w:t>Πηγή: Geodata</w:t>
      </w:r>
    </w:p>
    <w:p>
      <w:pPr>
        <w:pStyle w:val="Textbody1"/>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t>2. Αξιολόγηση ενδογενούς ανάπτυξης: ανθρώπινο και παραγωγικό δυναμικό, απασχόληση</w:t>
      </w:r>
    </w:p>
    <w:p>
      <w:pPr>
        <w:pStyle w:val="Textbody1"/>
        <w:rPr>
          <w:rFonts w:ascii="Calibri" w:hAnsi="Calibri"/>
          <w:sz w:val="24"/>
          <w:szCs w:val="24"/>
          <w:lang w:val="el-GR"/>
        </w:rPr>
      </w:pPr>
      <w:r>
        <w:rPr>
          <w:rFonts w:ascii="Calibri" w:hAnsi="Calibri"/>
          <w:sz w:val="24"/>
          <w:szCs w:val="24"/>
          <w:lang w:val="el-GR"/>
        </w:rPr>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t xml:space="preserve">2.1 Εξέλιξη του πληθυσμού - διάγνωση τάσεων  </w:t>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t>Η εν λόγω περιοχή κατοικήθηκε από τις αρχές της προσφυγικής εποχής σχηματίζοντας μικρούς αστικούς πυρήνες ενώ τα μεταπολεμικά χρόνια χαρακτήρισε η αγροτική έξοδος και η περιοχή του δήμου, αλλά και όλης της δυτικής Θεσσαλονίκης, ως περιφέρειας του δεύτερου μεγαλύτερου αστικού κέντρου της χώρας, γνώρισε μια πρώτη φάση έντονης αστικοποίησης. Μεγάλη σημασία για την πληθυσμιακή και οικιστική εξέλιξη των περιοχών κατά τα χρόνια της έντονης αστικοποίησης έπαιξε η διαθεσιμότητα φτηνής γης, καθώς και η γειτνίαση με τους χώρους παραγωγής, που την εποχή εκείνη συγκεντρώνονταν κυρίως δυτικά του κέντρου της Θεσσαλονίκης.</w:t>
      </w:r>
    </w:p>
    <w:p>
      <w:pPr>
        <w:pStyle w:val="Textbody1"/>
        <w:rPr>
          <w:rFonts w:ascii="Calibri" w:hAnsi="Calibri"/>
          <w:sz w:val="24"/>
          <w:szCs w:val="24"/>
        </w:rPr>
      </w:pPr>
      <w:r>
        <w:rPr>
          <w:rFonts w:ascii="Calibri" w:hAnsi="Calibri"/>
          <w:sz w:val="24"/>
          <w:szCs w:val="24"/>
          <w:lang w:val="el-GR"/>
        </w:rPr>
        <w:t xml:space="preserve">Στην ευρύτερη δυτική περιοχή η μεγαλύτερη αύξηση πληθυσμού εντοπίζεται στην δεκαετία του 60, σημαντικές όμως διαφοροποιήσεις σημειώνονται μεταξύ των επί μέρους περιοχών. Οι διαφοροποιήσεις αυτές είναι συνάρτηση μιας σειράς παραμέτρων, όπως η εγγύτητα των περιοχών στο κέντρο της πόλης, η διαθεσιμότητα γης προς οικοδόμηση - εντός αλλά και εκτός σχεδίου - οι επιτρεπόμενοι συντελεστές δόμησης, ο βαθμός ανάπτυξης των εξυπηρετήσεων της περιοχής, η συγκοινωνιακή σύνδεσή της με την πόλη κλπ.. Έτσι η Σταυρούπολη είναι από τις περιοχές του Δήμου που είχε την μεγαλύτερη αύξηση πληθυσμού προσεγγίζοντας τις αστικές πυκνότητες κατά τις δεκαετίες της έντονης εσωτερικής μετανάστευσης. </w:t>
      </w:r>
      <w:r>
        <w:rPr>
          <w:rFonts w:ascii="Calibri" w:hAnsi="Calibri"/>
          <w:sz w:val="24"/>
          <w:szCs w:val="24"/>
        </w:rPr>
        <w:t>Η Πολίχνη επίσης ακολουθούσε αυτές τις αυξητικές τάσεις.</w:t>
      </w:r>
    </w:p>
    <w:p>
      <w:pPr>
        <w:pStyle w:val="Textbody1"/>
        <w:rPr>
          <w:rFonts w:ascii="Calibri" w:hAnsi="Calibri"/>
          <w:sz w:val="24"/>
          <w:szCs w:val="24"/>
        </w:rPr>
      </w:pPr>
      <w:r>
        <w:rPr>
          <w:rFonts w:ascii="Calibri" w:hAnsi="Calibri"/>
          <w:sz w:val="24"/>
          <w:szCs w:val="24"/>
          <w:lang w:val="el-GR"/>
        </w:rPr>
        <w:t xml:space="preserve">Μετά το 1980 οι αυξητικές τάσεις διαφοροποιούνται για τις συνοικίες της Δυτικής </w:t>
      </w:r>
      <w:r>
        <w:rPr>
          <w:rFonts w:ascii="Calibri" w:hAnsi="Calibri"/>
          <w:sz w:val="24"/>
          <w:szCs w:val="24"/>
          <w:lang w:val="el-GR"/>
        </w:rPr>
        <w:t xml:space="preserve">Θεσσαλονίκης. </w:t>
      </w:r>
      <w:r>
        <w:rPr>
          <w:rFonts w:ascii="Calibri" w:hAnsi="Calibri"/>
          <w:sz w:val="24"/>
          <w:szCs w:val="24"/>
          <w:lang w:val="el-GR"/>
        </w:rPr>
        <w:t>Η Σταυρούπολη αναπτύσσεται πλέον με χαμηλότερους ρυθμούς, ενώ η Πολίχνη και η Ευκαρπία σημειώνουν σημαντική αύξηση λόγω διαθεσιμότητας οικοδομήσιμης γης, που καθιστούσαν τις περιοχές αυτές ελκυστικές στα μεσαία εισοδηματικά στρώματα, αλλά και της εγκατάστασης πολλών μεταναστών των Βαλκανίων και της επιστροφής παλιννοστούντων ομογενών κατά τη δεκαετία του 90.</w:t>
      </w:r>
    </w:p>
    <w:p>
      <w:pPr>
        <w:pStyle w:val="Textbody1"/>
        <w:rPr>
          <w:rFonts w:ascii="Calibri" w:hAnsi="Calibri"/>
          <w:sz w:val="24"/>
          <w:szCs w:val="24"/>
          <w:lang w:val="el-GR"/>
        </w:rPr>
      </w:pPr>
      <w:r>
        <w:rPr>
          <w:rFonts w:ascii="Calibri" w:hAnsi="Calibri"/>
          <w:sz w:val="24"/>
          <w:szCs w:val="24"/>
          <w:lang w:val="el-GR"/>
        </w:rPr>
        <w:t>Παρακάτω παρουσιάζεται ένας πίνακας πληθυσμού για όλο το ΠΣΘ κατά τα έτη 2001 και 2011</w:t>
      </w:r>
    </w:p>
    <w:tbl>
      <w:tblPr>
        <w:tblW w:w="88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03" w:type="dxa"/>
          <w:left w:w="73" w:type="dxa"/>
          <w:bottom w:w="25" w:type="dxa"/>
          <w:right w:w="47" w:type="dxa"/>
        </w:tblCellMar>
      </w:tblPr>
      <w:tblGrid>
        <w:gridCol w:w="2323"/>
        <w:gridCol w:w="1548"/>
        <w:gridCol w:w="1930"/>
        <w:gridCol w:w="1631"/>
        <w:gridCol w:w="1381"/>
      </w:tblGrid>
      <w:tr>
        <w:trPr>
          <w:trHeight w:val="997" w:hRule="atLeast"/>
        </w:trPr>
        <w:tc>
          <w:tcPr>
            <w:tcW w:w="2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uppressAutoHyphens w:val="false"/>
              <w:spacing w:lineRule="auto" w:line="259"/>
              <w:ind w:left="0" w:right="60"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ΔΗΜΟΣ</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uppressAutoHyphens w:val="false"/>
              <w:spacing w:lineRule="auto" w:line="259" w:before="0" w:after="62"/>
              <w:ind w:left="22" w:right="0" w:hanging="0"/>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ΠΡΑΓΜΑΤΙΚΟΣ</w:t>
            </w:r>
          </w:p>
          <w:p>
            <w:pPr>
              <w:pStyle w:val="Normal"/>
              <w:suppressAutoHyphens w:val="false"/>
              <w:spacing w:lineRule="auto" w:line="259"/>
              <w:ind w:left="439" w:right="0" w:hanging="353"/>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ΠΛΗΘΥΣΜΟΣ 2001</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uppressAutoHyphens w:val="false"/>
              <w:spacing w:lineRule="auto" w:line="259"/>
              <w:ind w:left="24" w:right="0" w:firstLine="187"/>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ΠΡΑΓΜΑΤΙΚΟΣ ΠΛΗΘΥΣΜΟΣ 2011</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uppressAutoHyphens w:val="false"/>
              <w:spacing w:lineRule="auto" w:line="259"/>
              <w:ind w:left="48" w:right="0"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ΕΓΓΕΓΡΑΜΕΝΟΙ</w:t>
            </w:r>
          </w:p>
        </w:tc>
        <w:tc>
          <w:tcPr>
            <w:tcW w:w="1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uppressAutoHyphens w:val="false"/>
              <w:spacing w:lineRule="auto" w:line="259"/>
              <w:ind w:left="0" w:right="56"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ΜΕΛΗ ΔΣ</w:t>
            </w:r>
          </w:p>
        </w:tc>
      </w:tr>
      <w:tr>
        <w:trPr>
          <w:trHeight w:val="408" w:hRule="atLeast"/>
        </w:trPr>
        <w:tc>
          <w:tcPr>
            <w:tcW w:w="2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76923C" w:val="clear"/>
            <w:vAlign w:val="bottom"/>
          </w:tcPr>
          <w:p>
            <w:pPr>
              <w:pStyle w:val="Normal"/>
              <w:suppressAutoHyphens w:val="false"/>
              <w:spacing w:lineRule="auto" w:line="259"/>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ΠΑΥΛΟΥ ΜΕΛΑ </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76923C" w:val="clear"/>
            <w:vAlign w:val="bottom"/>
          </w:tcPr>
          <w:p>
            <w:pPr>
              <w:pStyle w:val="Normal"/>
              <w:suppressAutoHyphens w:val="false"/>
              <w:spacing w:lineRule="auto" w:line="259"/>
              <w:ind w:left="0" w:right="9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84.397 </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76923C" w:val="clear"/>
            <w:vAlign w:val="bottom"/>
          </w:tcPr>
          <w:p>
            <w:pPr>
              <w:pStyle w:val="Normal"/>
              <w:suppressAutoHyphens w:val="false"/>
              <w:spacing w:lineRule="auto" w:line="259"/>
              <w:ind w:left="0" w:right="101"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99.245 </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76923C" w:val="clear"/>
            <w:vAlign w:val="bottom"/>
          </w:tcPr>
          <w:p>
            <w:pPr>
              <w:pStyle w:val="Normal"/>
              <w:suppressAutoHyphens w:val="false"/>
              <w:spacing w:lineRule="auto" w:line="259"/>
              <w:ind w:left="0" w:right="64"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65.175 </w:t>
            </w:r>
          </w:p>
        </w:tc>
        <w:tc>
          <w:tcPr>
            <w:tcW w:w="1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76923C" w:val="clear"/>
            <w:vAlign w:val="bottom"/>
          </w:tcPr>
          <w:p>
            <w:pPr>
              <w:pStyle w:val="Normal"/>
              <w:suppressAutoHyphens w:val="false"/>
              <w:spacing w:lineRule="auto" w:line="259"/>
              <w:ind w:left="0" w:right="5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41 </w:t>
            </w:r>
          </w:p>
        </w:tc>
      </w:tr>
      <w:tr>
        <w:trPr>
          <w:trHeight w:val="704" w:hRule="atLeast"/>
        </w:trPr>
        <w:tc>
          <w:tcPr>
            <w:tcW w:w="2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right" w:pos="2198" w:leader="none"/>
              </w:tabs>
              <w:suppressAutoHyphens w:val="false"/>
              <w:spacing w:lineRule="auto" w:line="259" w:before="0" w:after="68"/>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ΑΜΠΕΛΟΚΗΠΩΝ </w:t>
              <w:tab/>
              <w:t xml:space="preserve"> </w:t>
            </w:r>
          </w:p>
          <w:p>
            <w:pPr>
              <w:pStyle w:val="Normal"/>
              <w:suppressAutoHyphens w:val="false"/>
              <w:spacing w:lineRule="auto" w:line="259"/>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ΜΕΝΕΜΕΝΗΣ </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false"/>
              <w:spacing w:lineRule="auto" w:line="259"/>
              <w:ind w:left="0" w:right="9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55.869 </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false"/>
              <w:spacing w:lineRule="auto" w:line="259"/>
              <w:ind w:left="0" w:right="101"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52.127 </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false"/>
              <w:spacing w:lineRule="auto" w:line="259"/>
              <w:ind w:left="0" w:right="64"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40.159 </w:t>
            </w:r>
          </w:p>
        </w:tc>
        <w:tc>
          <w:tcPr>
            <w:tcW w:w="1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false"/>
              <w:spacing w:lineRule="auto" w:line="259"/>
              <w:ind w:left="0" w:right="5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33 </w:t>
            </w:r>
          </w:p>
        </w:tc>
      </w:tr>
      <w:tr>
        <w:trPr>
          <w:trHeight w:val="413" w:hRule="atLeast"/>
        </w:trPr>
        <w:tc>
          <w:tcPr>
            <w:tcW w:w="2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ΚΟΡΔΕΛΙΟΥ ΕΥΟΣΜΟΥ </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9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74.254 </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104"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101.753 </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64"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62.859 </w:t>
            </w:r>
          </w:p>
        </w:tc>
        <w:tc>
          <w:tcPr>
            <w:tcW w:w="1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5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41 </w:t>
            </w:r>
          </w:p>
        </w:tc>
      </w:tr>
      <w:tr>
        <w:trPr>
          <w:trHeight w:val="413" w:hRule="atLeast"/>
        </w:trPr>
        <w:tc>
          <w:tcPr>
            <w:tcW w:w="2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ΝΕΑΠΟΛΗΣ - ΣΥΚΕΩΝ </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9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86.397 </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101"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84.741 </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64"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69.181 </w:t>
            </w:r>
          </w:p>
        </w:tc>
        <w:tc>
          <w:tcPr>
            <w:tcW w:w="1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5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41 </w:t>
            </w:r>
          </w:p>
        </w:tc>
      </w:tr>
      <w:tr>
        <w:trPr>
          <w:trHeight w:val="410" w:hRule="atLeast"/>
        </w:trPr>
        <w:tc>
          <w:tcPr>
            <w:tcW w:w="2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ΚΑΛΑΜΑΡΙΑΣ </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9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87.255 </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101"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91.279 </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64"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58.651 </w:t>
            </w:r>
          </w:p>
        </w:tc>
        <w:tc>
          <w:tcPr>
            <w:tcW w:w="1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5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41 </w:t>
            </w:r>
          </w:p>
        </w:tc>
      </w:tr>
      <w:tr>
        <w:trPr>
          <w:trHeight w:val="410" w:hRule="atLeast"/>
        </w:trPr>
        <w:tc>
          <w:tcPr>
            <w:tcW w:w="23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ΠΥΛΑΙΑ - ΧΟΡΤΙΑΤΗ </w:t>
            </w:r>
          </w:p>
        </w:tc>
        <w:tc>
          <w:tcPr>
            <w:tcW w:w="1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9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50.162 </w:t>
            </w:r>
          </w:p>
        </w:tc>
        <w:tc>
          <w:tcPr>
            <w:tcW w:w="19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101"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70.110 </w:t>
            </w:r>
          </w:p>
        </w:tc>
        <w:tc>
          <w:tcPr>
            <w:tcW w:w="1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64"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48.176 </w:t>
            </w:r>
          </w:p>
        </w:tc>
        <w:tc>
          <w:tcPr>
            <w:tcW w:w="1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uppressAutoHyphens w:val="false"/>
              <w:spacing w:lineRule="auto" w:line="259"/>
              <w:ind w:left="0" w:right="5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33 </w:t>
            </w:r>
          </w:p>
        </w:tc>
      </w:tr>
      <w:tr>
        <w:trPr>
          <w:trHeight w:val="414" w:hRule="atLeast"/>
        </w:trPr>
        <w:tc>
          <w:tcPr>
            <w:tcW w:w="2323"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vAlign w:val="bottom"/>
          </w:tcPr>
          <w:p>
            <w:pPr>
              <w:pStyle w:val="Normal"/>
              <w:suppressAutoHyphens w:val="false"/>
              <w:spacing w:lineRule="auto" w:line="259"/>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ΘΕΣΣΑΛΟΝΙΚΗΣ </w:t>
            </w:r>
          </w:p>
        </w:tc>
        <w:tc>
          <w:tcPr>
            <w:tcW w:w="1548"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vAlign w:val="bottom"/>
          </w:tcPr>
          <w:p>
            <w:pPr>
              <w:pStyle w:val="Normal"/>
              <w:suppressAutoHyphens w:val="false"/>
              <w:spacing w:lineRule="auto" w:line="259"/>
              <w:ind w:left="0" w:right="104"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375.276 </w:t>
            </w:r>
          </w:p>
        </w:tc>
        <w:tc>
          <w:tcPr>
            <w:tcW w:w="1930"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vAlign w:val="bottom"/>
          </w:tcPr>
          <w:p>
            <w:pPr>
              <w:pStyle w:val="Normal"/>
              <w:suppressAutoHyphens w:val="false"/>
              <w:spacing w:lineRule="auto" w:line="259"/>
              <w:ind w:left="0" w:right="104"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325.182 </w:t>
            </w:r>
          </w:p>
        </w:tc>
        <w:tc>
          <w:tcPr>
            <w:tcW w:w="1631"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vAlign w:val="bottom"/>
          </w:tcPr>
          <w:p>
            <w:pPr>
              <w:pStyle w:val="Normal"/>
              <w:suppressAutoHyphens w:val="false"/>
              <w:spacing w:lineRule="auto" w:line="259"/>
              <w:ind w:left="0" w:right="62"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 xml:space="preserve">269.137 </w:t>
            </w:r>
          </w:p>
        </w:tc>
        <w:tc>
          <w:tcPr>
            <w:tcW w:w="1381"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vAlign w:val="bottom"/>
          </w:tcPr>
          <w:p>
            <w:pPr>
              <w:pStyle w:val="Normal"/>
              <w:suppressAutoHyphens w:val="false"/>
              <w:spacing w:lineRule="auto" w:line="259"/>
              <w:ind w:left="0" w:right="59" w:hanging="0"/>
              <w:jc w:val="center"/>
              <w:textAlignment w:val="auto"/>
              <w:rPr>
                <w:rFonts w:ascii="Calibri" w:hAnsi="Calibri" w:eastAsia="Calibri" w:cs="Calibri"/>
                <w:color w:val="00000A"/>
                <w:kern w:val="0"/>
                <w:sz w:val="24"/>
                <w:szCs w:val="24"/>
                <w:lang w:eastAsia="en-US" w:bidi="ar-SA"/>
              </w:rPr>
            </w:pPr>
            <w:r>
              <w:rPr>
                <w:rFonts w:eastAsia="Calibri" w:cs="Calibri" w:ascii="Calibri" w:hAnsi="Calibri"/>
                <w:color w:val="00000A"/>
                <w:kern w:val="0"/>
                <w:sz w:val="24"/>
                <w:szCs w:val="24"/>
                <w:lang w:eastAsia="en-US" w:bidi="ar-SA"/>
              </w:rPr>
              <w:t>4</w:t>
            </w:r>
          </w:p>
        </w:tc>
      </w:tr>
    </w:tbl>
    <w:p>
      <w:pPr>
        <w:pStyle w:val="Textbody1"/>
        <w:jc w:val="center"/>
        <w:rPr>
          <w:rFonts w:ascii="Calibri" w:hAnsi="Calibri"/>
          <w:sz w:val="24"/>
          <w:szCs w:val="24"/>
          <w:lang w:val="el-GR"/>
        </w:rPr>
      </w:pPr>
      <w:r>
        <w:rPr>
          <w:rFonts w:ascii="Calibri" w:hAnsi="Calibri"/>
          <w:sz w:val="24"/>
          <w:szCs w:val="24"/>
          <w:lang w:val="el-GR"/>
        </w:rPr>
        <w:t>Πηγή: ΕΛΣΤΑΤ</w:t>
      </w:r>
    </w:p>
    <w:p>
      <w:pPr>
        <w:pStyle w:val="Textbody1"/>
        <w:rPr>
          <w:rFonts w:ascii="Calibri" w:hAnsi="Calibri"/>
          <w:sz w:val="24"/>
          <w:szCs w:val="24"/>
          <w:lang w:val="el-GR"/>
        </w:rPr>
      </w:pPr>
      <w:r>
        <w:rPr>
          <w:rFonts w:ascii="Calibri" w:hAnsi="Calibri"/>
          <w:sz w:val="24"/>
          <w:szCs w:val="24"/>
          <w:lang w:val="el-GR"/>
        </w:rPr>
      </w:r>
      <w:bookmarkStart w:id="0" w:name="_GoBack"/>
      <w:bookmarkStart w:id="1" w:name="_GoBack"/>
      <w:bookmarkEnd w:id="1"/>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t>2.2 Ηλικιακή κατανομή πληθυσμού</w:t>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t xml:space="preserve">  </w:t>
      </w:r>
    </w:p>
    <w:p>
      <w:pPr>
        <w:pStyle w:val="Normal"/>
        <w:spacing w:lineRule="auto" w:line="259" w:before="0" w:after="93"/>
        <w:ind w:left="10" w:right="185" w:hanging="10"/>
        <w:rPr>
          <w:rFonts w:ascii="Calibri" w:hAnsi="Calibri"/>
          <w:sz w:val="24"/>
          <w:szCs w:val="24"/>
        </w:rPr>
      </w:pPr>
      <w:r>
        <w:rPr>
          <w:rFonts w:eastAsia="Calibri" w:cs="Calibri" w:ascii="Calibri" w:hAnsi="Calibri"/>
          <w:sz w:val="24"/>
          <w:szCs w:val="24"/>
          <w:lang w:val="el-GR"/>
        </w:rPr>
        <w:t xml:space="preserve">Η μορφή της πληθυσμιακής πυραμίδας για το 2011 ακολουθεί το πρότυπο της Ελλάδας, δηλαδή είναι μια πυραμίδα μειούμενης </w:t>
      </w:r>
      <w:r>
        <w:rPr>
          <w:rFonts w:eastAsia="Calibri" w:cs="Calibri" w:ascii="Calibri" w:hAnsi="Calibri"/>
          <w:sz w:val="24"/>
          <w:szCs w:val="24"/>
          <w:lang w:val="el-GR"/>
        </w:rPr>
        <w:t>δομής πληθυσμού με μεγάλη συγκέντρωση της ομάδας 30-45. Σε σχέση με άλλες περιοχές της επικράτειας παρουσιάζει μεγαλύτερο αριθμό νέων, και μέσων ηλικιών, πράγμα που εξηγείται από την μεταγενέστερη εγκατάσταση και ανάπτυξη των περιοχών της Πολίχνης και Ευκαρπίας.</w:t>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t>Πιο συγκεκριμένα:</w:t>
      </w:r>
    </w:p>
    <w:p>
      <w:pPr>
        <w:pStyle w:val="Normal"/>
        <w:numPr>
          <w:ilvl w:val="0"/>
          <w:numId w:val="2"/>
        </w:numPr>
        <w:spacing w:lineRule="auto" w:line="259" w:before="0" w:after="93"/>
        <w:rPr>
          <w:rFonts w:ascii="Calibri" w:hAnsi="Calibri" w:eastAsia="Calibri" w:cs="Calibri"/>
          <w:sz w:val="24"/>
          <w:szCs w:val="24"/>
          <w:lang w:val="el-GR"/>
        </w:rPr>
      </w:pPr>
      <w:r>
        <w:rPr>
          <w:rFonts w:eastAsia="Calibri" w:cs="Calibri" w:ascii="Calibri" w:hAnsi="Calibri"/>
          <w:sz w:val="24"/>
          <w:szCs w:val="24"/>
          <w:lang w:val="el-GR"/>
        </w:rPr>
        <w:t>Η κατανομή του πληθυσμού ανά φύλο είναι σχετικά ισορροπημένη (αναλογία 51/49 υπέρ των γυναικών).</w:t>
      </w:r>
    </w:p>
    <w:p>
      <w:pPr>
        <w:pStyle w:val="Normal"/>
        <w:numPr>
          <w:ilvl w:val="0"/>
          <w:numId w:val="2"/>
        </w:numPr>
        <w:spacing w:lineRule="auto" w:line="259" w:before="0" w:after="93"/>
        <w:rPr>
          <w:rFonts w:ascii="Calibri" w:hAnsi="Calibri"/>
          <w:sz w:val="24"/>
          <w:szCs w:val="24"/>
        </w:rPr>
      </w:pPr>
      <w:r>
        <w:rPr>
          <w:rFonts w:eastAsia="Calibri" w:cs="Calibri" w:ascii="Calibri" w:hAnsi="Calibri"/>
          <w:sz w:val="24"/>
          <w:szCs w:val="24"/>
          <w:lang w:val="el-GR"/>
        </w:rPr>
        <w:t xml:space="preserve">Στην τρίτη ηλικία </w:t>
      </w:r>
      <w:r>
        <w:rPr>
          <w:rFonts w:eastAsia="Calibri" w:cs="Calibri" w:ascii="Calibri" w:hAnsi="Calibri"/>
          <w:sz w:val="24"/>
          <w:szCs w:val="24"/>
          <w:lang w:val="el-GR"/>
        </w:rPr>
        <w:t>το ποσοστό των γυναικών είναι αρκετά μεγαλύτερο.</w:t>
      </w:r>
    </w:p>
    <w:p>
      <w:pPr>
        <w:pStyle w:val="Normal"/>
        <w:numPr>
          <w:ilvl w:val="0"/>
          <w:numId w:val="2"/>
        </w:numPr>
        <w:spacing w:lineRule="auto" w:line="259" w:before="0" w:after="93"/>
        <w:rPr>
          <w:rFonts w:ascii="Calibri" w:hAnsi="Calibri" w:eastAsia="Calibri" w:cs="Calibri"/>
          <w:sz w:val="24"/>
          <w:szCs w:val="24"/>
          <w:lang w:val="el-GR"/>
        </w:rPr>
      </w:pPr>
      <w:r>
        <w:rPr>
          <w:rFonts w:eastAsia="Calibri" w:cs="Calibri" w:ascii="Calibri" w:hAnsi="Calibri"/>
          <w:sz w:val="24"/>
          <w:szCs w:val="24"/>
          <w:lang w:val="el-GR"/>
        </w:rPr>
        <w:t>Περίπου το 40% του πληθυσμού κυμαίνεται μεταξύ 25 και 49 ετών.</w:t>
      </w:r>
    </w:p>
    <w:p>
      <w:pPr>
        <w:pStyle w:val="Normal"/>
        <w:numPr>
          <w:ilvl w:val="0"/>
          <w:numId w:val="2"/>
        </w:numPr>
        <w:spacing w:lineRule="auto" w:line="259" w:before="0" w:after="93"/>
        <w:rPr>
          <w:rFonts w:ascii="Calibri" w:hAnsi="Calibri" w:eastAsia="Calibri" w:cs="Calibri"/>
          <w:sz w:val="24"/>
          <w:szCs w:val="24"/>
          <w:lang w:val="el-GR"/>
        </w:rPr>
      </w:pPr>
      <w:r>
        <w:rPr>
          <w:rFonts w:eastAsia="Calibri" w:cs="Calibri" w:ascii="Calibri" w:hAnsi="Calibri"/>
          <w:sz w:val="24"/>
          <w:szCs w:val="24"/>
          <w:lang w:val="el-GR"/>
        </w:rPr>
        <w:t>Σχετικά αυξημένος πληθυσμός ανηλίκων.</w:t>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drawing>
          <wp:inline distT="0" distB="0" distL="0" distR="0">
            <wp:extent cx="6443345" cy="3624580"/>
            <wp:effectExtent l="0" t="0" r="0" b="0"/>
            <wp:docPr id="3"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spacing w:lineRule="auto" w:line="259" w:before="0" w:after="93"/>
        <w:ind w:left="0" w:right="185" w:hanging="0"/>
        <w:rPr>
          <w:rFonts w:ascii="Calibri" w:hAnsi="Calibri"/>
          <w:sz w:val="24"/>
          <w:szCs w:val="24"/>
        </w:rPr>
      </w:pPr>
      <w:r>
        <w:rPr>
          <w:rFonts w:eastAsia="Calibri" w:cs="Calibri" w:ascii="Calibri" w:hAnsi="Calibri"/>
          <w:sz w:val="24"/>
          <w:szCs w:val="24"/>
          <w:lang w:val="el-GR"/>
        </w:rPr>
        <w:t>2.3</w:t>
      </w:r>
      <w:r>
        <w:rPr>
          <w:rFonts w:eastAsia="Calibri" w:cs="Calibri" w:ascii="Calibri" w:hAnsi="Calibri"/>
          <w:sz w:val="24"/>
          <w:szCs w:val="24"/>
          <w:lang w:val="el-GR"/>
        </w:rPr>
        <w:t xml:space="preserve"> Δείκτης γήρανσης, δείκτης εξάρτησης, δείκτης αντικατάστασης</w:t>
      </w:r>
    </w:p>
    <w:p>
      <w:pPr>
        <w:pStyle w:val="Normal"/>
        <w:spacing w:lineRule="auto" w:line="259" w:before="0" w:after="93"/>
        <w:ind w:left="0" w:right="185" w:hanging="0"/>
        <w:rPr>
          <w:rFonts w:ascii="Calibri" w:hAnsi="Calibri" w:eastAsia="Calibri" w:cs="Calibri"/>
          <w:sz w:val="24"/>
          <w:szCs w:val="24"/>
          <w:lang w:val="el-GR"/>
        </w:rPr>
      </w:pPr>
      <w:r>
        <w:rPr>
          <w:rFonts w:eastAsia="Calibri" w:cs="Calibri" w:ascii="Calibri" w:hAnsi="Calibri"/>
          <w:sz w:val="24"/>
          <w:szCs w:val="24"/>
          <w:lang w:val="el-GR"/>
        </w:rPr>
      </w:r>
    </w:p>
    <w:p>
      <w:pPr>
        <w:pStyle w:val="Normal"/>
        <w:spacing w:lineRule="auto" w:line="259" w:before="0" w:after="93"/>
        <w:ind w:left="10" w:right="185" w:hanging="10"/>
        <w:rPr>
          <w:rFonts w:ascii="Calibri" w:hAnsi="Calibri"/>
          <w:sz w:val="24"/>
          <w:szCs w:val="24"/>
        </w:rPr>
      </w:pPr>
      <w:r>
        <w:rPr>
          <w:rFonts w:eastAsia="Calibri" w:cs="Calibri" w:ascii="Calibri" w:hAnsi="Calibri"/>
          <w:sz w:val="24"/>
          <w:szCs w:val="24"/>
          <w:lang w:val="el-GR"/>
        </w:rPr>
        <w:t xml:space="preserve">Όσον αφορά </w:t>
      </w:r>
      <w:r>
        <w:rPr>
          <w:rFonts w:eastAsia="Calibri" w:cs="Calibri" w:ascii="Calibri" w:hAnsi="Calibri"/>
          <w:sz w:val="24"/>
          <w:szCs w:val="24"/>
          <w:lang w:val="el-GR"/>
        </w:rPr>
        <w:t>τη δημογραφική γήρανση, δηλαδή την αύξηση του ποσοστού των ατόμων ηλικιακής ομάδας 65+</w:t>
      </w:r>
      <w:r>
        <w:rPr>
          <w:rFonts w:eastAsia="Calibri" w:cs="Calibri" w:ascii="Calibri" w:hAnsi="Calibri"/>
          <w:sz w:val="24"/>
          <w:szCs w:val="24"/>
          <w:lang w:val="el-GR"/>
        </w:rPr>
        <w:t xml:space="preserve"> </w:t>
      </w:r>
      <w:r>
        <w:rPr>
          <w:rFonts w:eastAsia="Calibri" w:cs="Calibri" w:ascii="Calibri" w:hAnsi="Calibri"/>
          <w:sz w:val="24"/>
          <w:szCs w:val="24"/>
          <w:lang w:val="el-GR"/>
        </w:rPr>
        <w:t xml:space="preserve">στο σύνολο του πληθυσμού. Είναι ένα φαινόμενο που απασχολεί την Ευρώπη τα τελευταία χρόνια και αποτελεί μια ένδειξη δημογραφικού προβλήματος. </w:t>
      </w:r>
      <w:r>
        <w:rPr>
          <w:rFonts w:eastAsia="Calibri" w:cs="Calibri" w:ascii="Calibri" w:hAnsi="Calibri"/>
          <w:b w:val="false"/>
          <w:i w:val="false"/>
          <w:caps w:val="false"/>
          <w:smallCaps w:val="false"/>
          <w:color w:val="000000"/>
          <w:spacing w:val="0"/>
          <w:sz w:val="24"/>
          <w:szCs w:val="24"/>
          <w:lang w:val="el-GR"/>
        </w:rPr>
        <w:t>Ενδεικτικά, το 2015 η ΕΕ εμφάνιζε αυξημένες τάσεις γήρανσης με τους άνω των 65 ετών να αντιπροσωπεύουν το 20% του πληθυσμού, με το μεγαλύτερο ποσοστό να το κατέχουν η Ιταλία 21,7%, η Γερμανία 21% και η Ελλάδα 20,9%, με την τελευταία να αυξάνει ακόμα περισσότερο τα ποσοστά της. Η τιμή αυτή για τον εν λόγω Δήμο υπολογίζεται στα 13%, αρκετά χαμηλότερη από αυτή της χώρας.</w:t>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r>
    </w:p>
    <w:p>
      <w:pPr>
        <w:pStyle w:val="Normal"/>
        <w:spacing w:lineRule="auto" w:line="259" w:before="0" w:after="93"/>
        <w:ind w:left="10" w:right="185" w:hanging="10"/>
        <w:rPr>
          <w:rFonts w:ascii="Calibri" w:hAnsi="Calibri"/>
          <w:sz w:val="24"/>
          <w:szCs w:val="24"/>
        </w:rPr>
      </w:pPr>
      <w:r>
        <w:rPr>
          <w:rFonts w:eastAsia="Calibri" w:cs="Calibri" w:ascii="Calibri" w:hAnsi="Calibri"/>
          <w:sz w:val="24"/>
          <w:szCs w:val="24"/>
          <w:lang w:val="el-GR"/>
        </w:rPr>
        <w:t>Ο</w:t>
      </w:r>
      <w:r>
        <w:rPr>
          <w:rFonts w:eastAsia="Calibri" w:cs="Calibri" w:ascii="Calibri" w:hAnsi="Calibri"/>
          <w:sz w:val="24"/>
          <w:szCs w:val="24"/>
          <w:lang w:val="el-GR"/>
        </w:rPr>
        <w:t xml:space="preserve"> δείκτη</w:t>
      </w:r>
      <w:r>
        <w:rPr>
          <w:rFonts w:eastAsia="Calibri" w:cs="Calibri" w:ascii="Calibri" w:hAnsi="Calibri"/>
          <w:sz w:val="24"/>
          <w:szCs w:val="24"/>
          <w:lang w:val="el-GR"/>
        </w:rPr>
        <w:t xml:space="preserve">ς </w:t>
      </w:r>
      <w:r>
        <w:rPr>
          <w:rFonts w:eastAsia="Calibri" w:cs="Calibri" w:ascii="Calibri" w:hAnsi="Calibri"/>
          <w:sz w:val="24"/>
          <w:szCs w:val="24"/>
          <w:lang w:val="el-GR"/>
        </w:rPr>
        <w:t xml:space="preserve">γήρανσης </w:t>
      </w:r>
      <w:r>
        <w:rPr>
          <w:rFonts w:eastAsia="Calibri" w:cs="Calibri" w:ascii="Calibri" w:hAnsi="Calibri"/>
          <w:sz w:val="24"/>
          <w:szCs w:val="24"/>
          <w:lang w:val="el-GR"/>
        </w:rPr>
        <w:t>εκφράζει την αναλογία ατόμων τρίτης ηλικίας (65+) σε σχέση με τους νέους (</w:t>
      </w:r>
      <w:r>
        <w:rPr>
          <w:rFonts w:eastAsia="Calibri" w:cs="Calibri" w:ascii="Calibri" w:hAnsi="Calibri"/>
          <w:sz w:val="24"/>
          <w:szCs w:val="24"/>
          <w:lang w:val="el-GR"/>
        </w:rPr>
        <w:t>0-</w:t>
      </w:r>
      <w:r>
        <w:rPr>
          <w:rFonts w:eastAsia="Calibri" w:cs="Calibri" w:ascii="Calibri" w:hAnsi="Calibri"/>
          <w:sz w:val="24"/>
          <w:szCs w:val="24"/>
          <w:lang w:val="el-GR"/>
        </w:rPr>
        <w:t xml:space="preserve">14 ετών). </w:t>
      </w:r>
      <w:r>
        <w:rPr>
          <w:rFonts w:eastAsia="Calibri" w:cs="Calibri" w:ascii="Calibri" w:hAnsi="Calibri"/>
          <w:sz w:val="24"/>
          <w:szCs w:val="24"/>
          <w:lang w:val="el-GR"/>
        </w:rPr>
        <w:t>Ο δείκτης αυτό για τον δήμο Παύλου Μελά είναι περίπου 70%. Ε</w:t>
      </w:r>
      <w:r>
        <w:rPr>
          <w:rFonts w:eastAsia="Calibri" w:cs="Calibri" w:ascii="Calibri" w:hAnsi="Calibri"/>
          <w:sz w:val="24"/>
          <w:szCs w:val="24"/>
          <w:lang w:val="el-GR"/>
        </w:rPr>
        <w:t xml:space="preserve">ίναι σχετικά χαμηλός λόγω ύπαρξης σημαντικού αριθμού νέων </w:t>
      </w:r>
      <w:r>
        <w:rPr>
          <w:rFonts w:eastAsia="Calibri" w:cs="Calibri" w:ascii="Calibri" w:hAnsi="Calibri"/>
          <w:sz w:val="24"/>
          <w:szCs w:val="24"/>
          <w:lang w:val="el-GR"/>
        </w:rPr>
        <w:t>και αρκετά αισθητά χαμηλότερος από τον εθνικό μέσο όρο που αντιστοιχεί σε περίπου 140%.</w:t>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r>
    </w:p>
    <w:p>
      <w:pPr>
        <w:pStyle w:val="Normal"/>
        <w:spacing w:lineRule="auto" w:line="259" w:before="0" w:after="93"/>
        <w:ind w:left="10" w:right="185" w:hanging="10"/>
        <w:rPr>
          <w:rFonts w:ascii="Calibri" w:hAnsi="Calibri"/>
          <w:sz w:val="24"/>
          <w:szCs w:val="24"/>
        </w:rPr>
      </w:pPr>
      <w:r>
        <w:rPr>
          <w:rFonts w:eastAsia="Calibri" w:cs="Calibri" w:ascii="Calibri" w:hAnsi="Calibri"/>
          <w:sz w:val="24"/>
          <w:szCs w:val="24"/>
          <w:lang w:val="el-GR"/>
        </w:rPr>
        <w:t xml:space="preserve">Ο δείκτης εξάρτησης είναι ο αριθμός των ατόμων 0-14 ετών και 65 και άνω ως προς 100 άτομα ηλικίας 15-64 ετών. Πρόκειται για έναν δημογραφικό δείκτη, που επιχειρεί να προσεγγίσει το ποσοστό του εξαρτημένου πληθυσμού από τον εν δυνάμει ενεργό. </w:t>
      </w:r>
      <w:r>
        <w:rPr>
          <w:rFonts w:eastAsia="Calibri" w:cs="Calibri" w:ascii="Calibri" w:hAnsi="Calibri"/>
          <w:sz w:val="24"/>
          <w:szCs w:val="24"/>
          <w:lang w:val="el-GR"/>
        </w:rPr>
        <w:t>Ο δήμος παρουσιάζει δείκτη 43% χαμηλότερο από τον εθνικό μέσο όρο που είναι 56% το 2015. Με άλλα λόγια για κάθε 100 άτομα παραγωγικής ηλικίας αντιστοιχούν 43 εξαρτώμενα μέλη.</w:t>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t>Ο δείκτης αντικατάστασης είναι ο αριθμός νέων 10-14 ετών ως προς 100 άτομα 60-64 ετών και δείχνει το πόσο νεαρός είναι ο πληθυσμός. Για την περιοχή του δήμου ο δείκτης αυτός είναι 166%, ιδιαίτερα αυξημένος σε σχέση με το 105,83 που ίσχυε για επίπεδο χώρας το 2010.</w:t>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t>2.4 Επίπεδο εκπαίδευσης</w:t>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r>
    </w:p>
    <w:p>
      <w:pPr>
        <w:pStyle w:val="Normal"/>
        <w:spacing w:lineRule="auto" w:line="259" w:before="0" w:after="93"/>
        <w:ind w:left="10" w:right="185" w:hanging="10"/>
        <w:rPr>
          <w:rFonts w:ascii="Calibri" w:hAnsi="Calibri" w:eastAsia="Calibri" w:cs="Calibri"/>
          <w:sz w:val="24"/>
          <w:szCs w:val="24"/>
          <w:lang w:val="el-GR"/>
        </w:rPr>
      </w:pPr>
      <w:r>
        <w:rPr>
          <w:rFonts w:eastAsia="Calibri" w:cs="Calibri" w:ascii="Calibri" w:hAnsi="Calibri"/>
          <w:sz w:val="24"/>
          <w:szCs w:val="24"/>
          <w:lang w:val="el-GR"/>
        </w:rPr>
        <w:t>Παρατηρείται πως μεταξύ των δύο φύλων δεν υπάρχει ιδιαίτερη διαφοροποίηση όσον αφορά το επίπεδο εκπαίδευσης. Τα άτομα που δεν γνωρίζουν γραφή και ανάγνωση είναι ελάχιστα όπως και αυτά που κατέχουν μεταπτυχιακό. Οι περισσότεροι κατέχουν απολυτήριο Λυκείου και ορισμένοι εξ αυτών έχουν πτυχίο πανεπιστημίου ή μεταδευτεροβάθμιας εκπαίδευσης.</w:t>
      </w:r>
    </w:p>
    <w:p>
      <w:pPr>
        <w:pStyle w:val="Textbody1"/>
        <w:rPr>
          <w:rFonts w:ascii="Calibri" w:hAnsi="Calibri"/>
          <w:sz w:val="24"/>
          <w:szCs w:val="24"/>
          <w:lang w:val="el-GR"/>
        </w:rPr>
      </w:pPr>
      <w:r>
        <w:rPr>
          <w:rFonts w:ascii="Calibri" w:hAnsi="Calibri"/>
          <w:sz w:val="24"/>
          <w:szCs w:val="24"/>
          <w:lang w:val="el-GR"/>
        </w:rPr>
        <w:drawing>
          <wp:inline distT="0" distB="0" distL="0" distR="0">
            <wp:extent cx="7061200" cy="4700270"/>
            <wp:effectExtent l="0" t="0" r="0" b="0"/>
            <wp:docPr id="4"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t>2.5 Τομείς παραγωγής και απασχόληση</w:t>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t>Η παραγωγική δραστηριότητα του Δήμου Παύλου Μελά αποτελείται κυρίως από τον τριτογενή τομέα καθώς ο δευτερογενής τομέας καταλαμβάνει ένα μικρότερο μερίδιο. Ο προτωγενής τομέας συμβάλει ελάχιστα στο σύνολο της οικονομίας. Αυτή η γενική τάση παρατηρείται ανεξάρτητα από της ηλικιακές ομάδες αν και υφίσταται υποχώρηση του τριτογενούς τομέα έναντι του δευτερογενούς όσο ανεβαίνουν οι ηλικίες.</w:t>
      </w:r>
    </w:p>
    <w:p>
      <w:pPr>
        <w:pStyle w:val="Textbody1"/>
        <w:rPr>
          <w:rFonts w:ascii="Calibri" w:hAnsi="Calibri"/>
          <w:sz w:val="24"/>
          <w:szCs w:val="24"/>
          <w:lang w:val="el-GR"/>
        </w:rPr>
      </w:pPr>
      <w:r>
        <w:rPr>
          <w:rFonts w:ascii="Calibri" w:hAnsi="Calibri"/>
          <w:sz w:val="24"/>
          <w:szCs w:val="24"/>
          <w:lang w:val="el-GR"/>
        </w:rPr>
        <w:drawing>
          <wp:inline distT="0" distB="0" distL="0" distR="0">
            <wp:extent cx="5594350" cy="3147060"/>
            <wp:effectExtent l="0" t="0" r="0" b="0"/>
            <wp:docPr id="5"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drawing>
          <wp:inline distT="0" distB="0" distL="0" distR="0">
            <wp:extent cx="5643880" cy="3241675"/>
            <wp:effectExtent l="0" t="0" r="0" b="0"/>
            <wp:docPr id="6"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Textbody1"/>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drawing>
          <wp:inline distT="0" distB="0" distL="0" distR="0">
            <wp:extent cx="7315835" cy="4115435"/>
            <wp:effectExtent l="0" t="0" r="0" b="0"/>
            <wp:docPr id="7"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t>3. Αξιολόγηση κλαδικών εξειδικεύσεων</w:t>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drawing>
          <wp:anchor behindDoc="0" distT="0" distB="0" distL="0" distR="0" simplePos="0" locked="0" layoutInCell="1" allowOverlap="1" relativeHeight="8">
            <wp:simplePos x="0" y="0"/>
            <wp:positionH relativeFrom="column">
              <wp:posOffset>-221615</wp:posOffset>
            </wp:positionH>
            <wp:positionV relativeFrom="paragraph">
              <wp:posOffset>-15875</wp:posOffset>
            </wp:positionV>
            <wp:extent cx="6792595" cy="575246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6792595" cy="5752465"/>
                    </a:xfrm>
                    <a:prstGeom prst="rect">
                      <a:avLst/>
                    </a:prstGeom>
                  </pic:spPr>
                </pic:pic>
              </a:graphicData>
            </a:graphic>
          </wp:anchor>
        </w:drawing>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r>
    </w:p>
    <w:p>
      <w:pPr>
        <w:pStyle w:val="Heading3"/>
        <w:rPr>
          <w:rFonts w:ascii="Calibri" w:hAnsi="Calibri"/>
          <w:sz w:val="24"/>
          <w:szCs w:val="24"/>
          <w:lang w:val="el-GR"/>
        </w:rPr>
      </w:pPr>
      <w:r>
        <w:rPr>
          <w:rFonts w:ascii="Calibri" w:hAnsi="Calibri"/>
          <w:sz w:val="24"/>
          <w:szCs w:val="24"/>
          <w:lang w:val="el-GR"/>
        </w:rPr>
        <w:t>4. Αξιολόγηση αναπτυξιακών εισροών με βάση το ευρύτερο οικονομικό πλαίσιο</w:t>
      </w:r>
    </w:p>
    <w:p>
      <w:pPr>
        <w:pStyle w:val="Standard"/>
        <w:tabs>
          <w:tab w:val="left" w:pos="3240" w:leader="none"/>
        </w:tabs>
        <w:rPr>
          <w:rFonts w:ascii="Calibri" w:hAnsi="Calibri"/>
          <w:sz w:val="24"/>
          <w:szCs w:val="24"/>
        </w:rPr>
      </w:pPr>
      <w:r>
        <w:rPr>
          <w:rFonts w:ascii="Calibri" w:hAnsi="Calibri"/>
          <w:sz w:val="24"/>
          <w:szCs w:val="24"/>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jc w:val="left"/>
      <w:textAlignment w:val="baseline"/>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qFormat/>
    <w:pPr>
      <w:numPr>
        <w:ilvl w:val="0"/>
        <w:numId w:val="0"/>
      </w:numPr>
      <w:spacing w:before="200" w:after="120"/>
      <w:outlineLvl w:val="1"/>
    </w:pPr>
    <w:rPr>
      <w:b/>
      <w:bCs/>
    </w:rPr>
  </w:style>
  <w:style w:type="paragraph" w:styleId="Heading3">
    <w:name w:val="Heading 3"/>
    <w:basedOn w:val="Heading"/>
    <w:qFormat/>
    <w:pPr>
      <w:numPr>
        <w:ilvl w:val="0"/>
        <w:numId w:val="0"/>
      </w:numPr>
      <w:spacing w:before="140" w:after="120"/>
      <w:outlineLvl w:val="2"/>
    </w:pPr>
    <w:rPr>
      <w:b/>
      <w:bCs/>
    </w:rPr>
  </w:style>
  <w:style w:type="character" w:styleId="DefaultParagraphFont">
    <w:name w:val="Default Paragraph 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paragraph" w:styleId="Heading">
    <w:name w:val="Heading"/>
    <w:basedOn w:val="Standard"/>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Standard"/>
    <w:qFormat/>
    <w:pPr>
      <w:suppressLineNumbers/>
    </w:pPr>
    <w:rPr/>
  </w:style>
  <w:style w:type="paragraph" w:styleId="Standard">
    <w:name w:val="Standard"/>
    <w:qFormat/>
    <w:pPr>
      <w:widowControl/>
      <w:kinsoku w:val="true"/>
      <w:overflowPunct w:val="true"/>
      <w:autoSpaceDE w:val="true"/>
      <w:bidi w:val="0"/>
      <w:jc w:val="left"/>
    </w:pPr>
    <w:rPr>
      <w:rFonts w:ascii="Liberation Serif" w:hAnsi="Liberation Serif" w:eastAsia="Noto Sans CJK SC" w:cs="Lohit Devanagari"/>
      <w:color w:val="auto"/>
      <w:kern w:val="2"/>
      <w:sz w:val="24"/>
      <w:szCs w:val="24"/>
      <w:lang w:val="en-US" w:eastAsia="zh-CN" w:bidi="hi-IN"/>
    </w:rPr>
  </w:style>
  <w:style w:type="paragraph" w:styleId="Textbody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image" Target="media/image3.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300" spc="-1" strike="noStrike">
                <a:latin typeface="Arial"/>
              </a:defRPr>
            </a:pPr>
            <a:r>
              <a:rPr b="1" sz="1300" spc="-1" strike="noStrike">
                <a:latin typeface="Arial"/>
              </a:rPr>
              <a:t>Πυραμίδα πληθυσμού Δήμου Παύλου Μελά 2011</a:t>
            </a:r>
          </a:p>
        </c:rich>
      </c:tx>
      <c:overlay val="0"/>
      <c:spPr>
        <a:solidFill>
          <a:srgbClr val="ffffff"/>
        </a:solidFill>
        <a:ln>
          <a:noFill/>
        </a:ln>
      </c:spPr>
    </c:title>
    <c:autoTitleDeleted val="0"/>
    <c:plotArea>
      <c:layout>
        <c:manualLayout>
          <c:layoutTarget val="inner"/>
          <c:xMode val="edge"/>
          <c:yMode val="edge"/>
          <c:x val="0.0371570654299603"/>
          <c:y val="0.119686134286849"/>
          <c:w val="0.832709392635637"/>
          <c:h val="0.814660309892729"/>
        </c:manualLayout>
      </c:layout>
      <c:barChart>
        <c:barDir val="bar"/>
        <c:grouping val="stacked"/>
        <c:varyColors val="0"/>
        <c:ser>
          <c:idx val="0"/>
          <c:order val="0"/>
          <c:tx>
            <c:strRef>
              <c:f>label 0</c:f>
              <c:strCache>
                <c:ptCount val="1"/>
                <c:pt idx="0">
                  <c:v>Άνδρες</c:v>
                </c:pt>
              </c:strCache>
            </c:strRef>
          </c:tx>
          <c:spPr>
            <a:solidFill>
              <a:srgbClr val="004586"/>
            </a:solidFill>
            <a:ln w="9000">
              <a:solidFill>
                <a:srgbClr val="000000"/>
              </a:solidFill>
              <a:round/>
            </a:ln>
          </c:spPr>
          <c:invertIfNegative val="0"/>
          <c:dLbls>
            <c:numFmt formatCode="General" sourceLinked="1"/>
            <c:showLegendKey val="0"/>
            <c:showVal val="0"/>
            <c:showCatName val="0"/>
            <c:showSerName val="0"/>
            <c:showPercent val="0"/>
            <c:showLeaderLines val="0"/>
          </c:dLbls>
          <c:cat>
            <c:strRef>
              <c:f>categories</c:f>
              <c:strCache>
                <c:ptCount val="18"/>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 και άνω</c:v>
                </c:pt>
              </c:strCache>
            </c:strRef>
          </c:cat>
          <c:val>
            <c:numRef>
              <c:f>0</c:f>
              <c:numCache>
                <c:formatCode>General</c:formatCode>
                <c:ptCount val="18"/>
                <c:pt idx="0">
                  <c:v>-0.0311420851112664</c:v>
                </c:pt>
                <c:pt idx="1">
                  <c:v>-0.029441529039864</c:v>
                </c:pt>
                <c:pt idx="2">
                  <c:v>-0.029441529039864</c:v>
                </c:pt>
                <c:pt idx="3">
                  <c:v>-0.029441529039864</c:v>
                </c:pt>
                <c:pt idx="4">
                  <c:v>-0.0262699398024016</c:v>
                </c:pt>
                <c:pt idx="5">
                  <c:v>-0.0345118986760701</c:v>
                </c:pt>
                <c:pt idx="6">
                  <c:v>-0.0437345463271119</c:v>
                </c:pt>
                <c:pt idx="7">
                  <c:v>-0.0437345463271119</c:v>
                </c:pt>
                <c:pt idx="8">
                  <c:v>-0.0437345463271119</c:v>
                </c:pt>
                <c:pt idx="9">
                  <c:v>-0.039123222501591</c:v>
                </c:pt>
                <c:pt idx="10">
                  <c:v>-0.0345118986760701</c:v>
                </c:pt>
                <c:pt idx="11">
                  <c:v>-0.029441529039864</c:v>
                </c:pt>
                <c:pt idx="12">
                  <c:v>-0.0215229888055419</c:v>
                </c:pt>
                <c:pt idx="13">
                  <c:v>-0.0155658261259663</c:v>
                </c:pt>
                <c:pt idx="14">
                  <c:v>-0.0155658261259663</c:v>
                </c:pt>
                <c:pt idx="15">
                  <c:v>-0.0108293079884404</c:v>
                </c:pt>
                <c:pt idx="16">
                  <c:v>-0.00717780722162523</c:v>
                </c:pt>
                <c:pt idx="17">
                  <c:v>-0.00165882463406746</c:v>
                </c:pt>
              </c:numCache>
            </c:numRef>
          </c:val>
        </c:ser>
        <c:ser>
          <c:idx val="1"/>
          <c:order val="1"/>
          <c:tx>
            <c:strRef>
              <c:f>label 1</c:f>
              <c:strCache>
                <c:ptCount val="1"/>
                <c:pt idx="0">
                  <c:v>Γυναίκες</c:v>
                </c:pt>
              </c:strCache>
            </c:strRef>
          </c:tx>
          <c:spPr>
            <a:solidFill>
              <a:srgbClr val="ff420e"/>
            </a:solidFill>
            <a:ln w="9000">
              <a:solidFill>
                <a:srgbClr val="000000"/>
              </a:solidFill>
              <a:round/>
            </a:ln>
          </c:spPr>
          <c:invertIfNegative val="0"/>
          <c:dLbls>
            <c:numFmt formatCode="General" sourceLinked="1"/>
            <c:showLegendKey val="0"/>
            <c:showVal val="0"/>
            <c:showCatName val="0"/>
            <c:showSerName val="0"/>
            <c:showPercent val="0"/>
            <c:showLeaderLines val="0"/>
          </c:dLbls>
          <c:cat>
            <c:strRef>
              <c:f>categories</c:f>
              <c:strCache>
                <c:ptCount val="18"/>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 και άνω</c:v>
                </c:pt>
              </c:strCache>
            </c:strRef>
          </c:cat>
          <c:val>
            <c:numRef>
              <c:f>1</c:f>
              <c:numCache>
                <c:formatCode>General</c:formatCode>
                <c:ptCount val="18"/>
                <c:pt idx="0">
                  <c:v>0.0311420851112664</c:v>
                </c:pt>
                <c:pt idx="1">
                  <c:v>0.0262699398024016</c:v>
                </c:pt>
                <c:pt idx="2">
                  <c:v>0.029441529039864</c:v>
                </c:pt>
                <c:pt idx="3">
                  <c:v>0.029441529039864</c:v>
                </c:pt>
                <c:pt idx="4">
                  <c:v>0.0311420851112664</c:v>
                </c:pt>
                <c:pt idx="5">
                  <c:v>0.039123222501591</c:v>
                </c:pt>
                <c:pt idx="6">
                  <c:v>0.0437345463271119</c:v>
                </c:pt>
                <c:pt idx="7">
                  <c:v>0.0437345463271119</c:v>
                </c:pt>
                <c:pt idx="8">
                  <c:v>0.0437345463271119</c:v>
                </c:pt>
                <c:pt idx="9">
                  <c:v>0.039123222501591</c:v>
                </c:pt>
                <c:pt idx="10">
                  <c:v>0.0345118986760701</c:v>
                </c:pt>
                <c:pt idx="11">
                  <c:v>0.0262699398024016</c:v>
                </c:pt>
                <c:pt idx="12">
                  <c:v>0.0215229888055419</c:v>
                </c:pt>
                <c:pt idx="13">
                  <c:v>0.0184870267394185</c:v>
                </c:pt>
                <c:pt idx="14">
                  <c:v>0.0215229888055419</c:v>
                </c:pt>
                <c:pt idx="15">
                  <c:v>0.0184870267394185</c:v>
                </c:pt>
                <c:pt idx="16">
                  <c:v>0.0108293079884404</c:v>
                </c:pt>
                <c:pt idx="17">
                  <c:v>0.00463218954418838</c:v>
                </c:pt>
              </c:numCache>
            </c:numRef>
          </c:val>
        </c:ser>
        <c:gapWidth val="0"/>
        <c:overlap val="0"/>
        <c:axId val="74341468"/>
        <c:axId val="72880122"/>
      </c:barChart>
      <c:catAx>
        <c:axId val="74341468"/>
        <c:scaling>
          <c:orientation val="minMax"/>
        </c:scaling>
        <c:delete val="1"/>
        <c:axPos val="b"/>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72880122"/>
        <c:crosses val="autoZero"/>
        <c:auto val="1"/>
        <c:lblAlgn val="ctr"/>
        <c:lblOffset val="100"/>
      </c:catAx>
      <c:valAx>
        <c:axId val="72880122"/>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74341468"/>
        <c:crosses val="autoZero"/>
      </c:valAx>
      <c:spPr>
        <a:noFill/>
        <a:ln>
          <a:solidFill>
            <a:srgbClr val="b3b3b3"/>
          </a:solidFill>
        </a:ln>
      </c:spPr>
    </c:plotArea>
    <c:legend>
      <c:layout>
        <c:manualLayout>
          <c:xMode val="edge"/>
          <c:yMode val="edge"/>
          <c:x val="0.038330446443538"/>
          <c:y val="0.124155740961462"/>
          <c:w val="0.117456414841305"/>
          <c:h val="0.144233634647859"/>
        </c:manualLayout>
      </c:layout>
      <c:spPr>
        <a:noFill/>
        <a:ln>
          <a:noFill/>
        </a:ln>
      </c:spPr>
      <c:txPr>
        <a:bodyPr/>
        <a:lstStyle/>
        <a:p>
          <a:pPr>
            <a:defRPr b="0" sz="1000" spc="-1" strike="noStrike">
              <a:latin typeface="Arial"/>
            </a:defRPr>
          </a:pPr>
        </a:p>
      </c:tx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300" spc="-1" strike="noStrike">
                <a:latin typeface="Arial"/>
              </a:defRPr>
            </a:pPr>
            <a:r>
              <a:rPr b="1" sz="1300" spc="-1" strike="noStrike">
                <a:latin typeface="Arial"/>
              </a:rPr>
              <a:t>Επίπεδο εκπαίδευσης Δήμου Παύλου Μελά 2011</a:t>
            </a:r>
          </a:p>
        </c:rich>
      </c:tx>
      <c:overlay val="0"/>
      <c:spPr>
        <a:noFill/>
        <a:ln>
          <a:noFill/>
        </a:ln>
      </c:spPr>
    </c:title>
    <c:autoTitleDeleted val="0"/>
    <c:plotArea>
      <c:barChart>
        <c:barDir val="col"/>
        <c:grouping val="clustered"/>
        <c:varyColors val="0"/>
        <c:ser>
          <c:idx val="0"/>
          <c:order val="0"/>
          <c:tx>
            <c:strRef>
              <c:f>label 0</c:f>
              <c:strCache>
                <c:ptCount val="1"/>
                <c:pt idx="0">
                  <c:v>Άνδρες %</c:v>
                </c:pt>
              </c:strCache>
            </c:strRef>
          </c:tx>
          <c:spPr>
            <a:solidFill>
              <a:srgbClr val="004586"/>
            </a:solidFill>
            <a:ln>
              <a:noFill/>
            </a:ln>
          </c:spPr>
          <c:invertIfNegative val="0"/>
          <c:dLbls>
            <c:numFmt formatCode="#,##0.0000" sourceLinked="1"/>
            <c:showLegendKey val="0"/>
            <c:showVal val="0"/>
            <c:showCatName val="0"/>
            <c:showSerName val="0"/>
            <c:showPercent val="0"/>
            <c:showLeaderLines val="0"/>
          </c:dLbls>
          <c:cat>
            <c:strRef>
              <c:f>categories</c:f>
              <c:strCache>
                <c:ptCount val="15"/>
                <c:pt idx="0">
                  <c:v>Διδακτορικό</c:v>
                </c:pt>
                <c:pt idx="1">
                  <c:v>Μεταπτυχιακό</c:v>
                </c:pt>
                <c:pt idx="2">
                  <c:v>Πτυχίο Παν/μίου-Πολ/χνείου και ισότιμων σχολών</c:v>
                </c:pt>
                <c:pt idx="3">
                  <c:v>Πτυχίο ΑΤΕΙ, ΑΣΠΑΙΤΕ και ισότιμων σχολών</c:v>
                </c:pt>
                <c:pt idx="4">
                  <c:v>Πτυχίο ανώτερων επαγγελματικών σχολών</c:v>
                </c:pt>
                <c:pt idx="5">
                  <c:v>Πτυχίο μεταδευτεροβάθμιας εκπαίδευσης (ΙΕΚ, Κολέγια κλπ.)</c:v>
                </c:pt>
                <c:pt idx="6">
                  <c:v>Απολυτήριο Λυκείου (Γενικού,Εκκλησιαστικού κλπ.)</c:v>
                </c:pt>
                <c:pt idx="7">
                  <c:v>Πτυχίο Επαγγελματικού Λυκείου</c:v>
                </c:pt>
                <c:pt idx="8">
                  <c:v>Πτυχίο Επαγγελματικών Σχολών</c:v>
                </c:pt>
                <c:pt idx="9">
                  <c:v>Απολυτήριο τριτάξιου Γυμνασίου</c:v>
                </c:pt>
                <c:pt idx="10">
                  <c:v>Απολυτήριο Δημοτικού</c:v>
                </c:pt>
                <c:pt idx="11">
                  <c:v>Εγκατέλειψε το  Δημοτικό, αλλά γνωρίζει γραφή και ανάγνωση</c:v>
                </c:pt>
                <c:pt idx="12">
                  <c:v>Ολοκλήρωσε την προσχολική αγωγή</c:v>
                </c:pt>
                <c:pt idx="13">
                  <c:v>Δεν γνωρίζει γραφή και ανάγνωση</c:v>
                </c:pt>
                <c:pt idx="14">
                  <c:v>Άτομα γεννηθέντα μετά την 1/1/2005</c:v>
                </c:pt>
              </c:strCache>
            </c:strRef>
          </c:cat>
          <c:val>
            <c:numRef>
              <c:f>0</c:f>
              <c:numCache>
                <c:formatCode>General</c:formatCode>
                <c:ptCount val="15"/>
                <c:pt idx="0">
                  <c:v>0.00225648740127868</c:v>
                </c:pt>
                <c:pt idx="1">
                  <c:v>0.00584032033272128</c:v>
                </c:pt>
                <c:pt idx="2">
                  <c:v>0.0720306174368958</c:v>
                </c:pt>
                <c:pt idx="3">
                  <c:v>0.0414131805411145</c:v>
                </c:pt>
                <c:pt idx="4">
                  <c:v>0.00584032033272128</c:v>
                </c:pt>
                <c:pt idx="5">
                  <c:v>0.0414131805411145</c:v>
                </c:pt>
                <c:pt idx="6">
                  <c:v>0.200230073225228</c:v>
                </c:pt>
                <c:pt idx="7">
                  <c:v>0.0720306174368958</c:v>
                </c:pt>
                <c:pt idx="8">
                  <c:v>0.0414131805411145</c:v>
                </c:pt>
                <c:pt idx="9">
                  <c:v>0.137866955733027</c:v>
                </c:pt>
                <c:pt idx="10">
                  <c:v>0.200230073225228</c:v>
                </c:pt>
                <c:pt idx="11">
                  <c:v>0.0143353317257704</c:v>
                </c:pt>
                <c:pt idx="12">
                  <c:v>0.0720306174368958</c:v>
                </c:pt>
                <c:pt idx="13">
                  <c:v>0.00584032033272128</c:v>
                </c:pt>
                <c:pt idx="14">
                  <c:v>0.0872287237572728</c:v>
                </c:pt>
              </c:numCache>
            </c:numRef>
          </c:val>
        </c:ser>
        <c:ser>
          <c:idx val="1"/>
          <c:order val="1"/>
          <c:tx>
            <c:strRef>
              <c:f>label 1</c:f>
              <c:strCache>
                <c:ptCount val="1"/>
                <c:pt idx="0">
                  <c:v>Γυναίκες %</c:v>
                </c:pt>
              </c:strCache>
            </c:strRef>
          </c:tx>
          <c:spPr>
            <a:solidFill>
              <a:srgbClr val="ff420e"/>
            </a:solidFill>
            <a:ln>
              <a:noFill/>
            </a:ln>
          </c:spPr>
          <c:invertIfNegative val="0"/>
          <c:dLbls>
            <c:numFmt formatCode="#,##0.0000" sourceLinked="1"/>
            <c:showLegendKey val="0"/>
            <c:showVal val="0"/>
            <c:showCatName val="0"/>
            <c:showSerName val="0"/>
            <c:showPercent val="0"/>
            <c:showLeaderLines val="0"/>
          </c:dLbls>
          <c:cat>
            <c:strRef>
              <c:f>categories</c:f>
              <c:strCache>
                <c:ptCount val="15"/>
                <c:pt idx="0">
                  <c:v>Διδακτορικό</c:v>
                </c:pt>
                <c:pt idx="1">
                  <c:v>Μεταπτυχιακό</c:v>
                </c:pt>
                <c:pt idx="2">
                  <c:v>Πτυχίο Παν/μίου-Πολ/χνείου και ισότιμων σχολών</c:v>
                </c:pt>
                <c:pt idx="3">
                  <c:v>Πτυχίο ΑΤΕΙ, ΑΣΠΑΙΤΕ και ισότιμων σχολών</c:v>
                </c:pt>
                <c:pt idx="4">
                  <c:v>Πτυχίο ανώτερων επαγγελματικών σχολών</c:v>
                </c:pt>
                <c:pt idx="5">
                  <c:v>Πτυχίο μεταδευτεροβάθμιας εκπαίδευσης (ΙΕΚ, Κολέγια κλπ.)</c:v>
                </c:pt>
                <c:pt idx="6">
                  <c:v>Απολυτήριο Λυκείου (Γενικού,Εκκλησιαστικού κλπ.)</c:v>
                </c:pt>
                <c:pt idx="7">
                  <c:v>Πτυχίο Επαγγελματικού Λυκείου</c:v>
                </c:pt>
                <c:pt idx="8">
                  <c:v>Πτυχίο Επαγγελματικών Σχολών</c:v>
                </c:pt>
                <c:pt idx="9">
                  <c:v>Απολυτήριο τριτάξιου Γυμνασίου</c:v>
                </c:pt>
                <c:pt idx="10">
                  <c:v>Απολυτήριο Δημοτικού</c:v>
                </c:pt>
                <c:pt idx="11">
                  <c:v>Εγκατέλειψε το  Δημοτικό, αλλά γνωρίζει γραφή και ανάγνωση</c:v>
                </c:pt>
                <c:pt idx="12">
                  <c:v>Ολοκλήρωσε την προσχολική αγωγή</c:v>
                </c:pt>
                <c:pt idx="13">
                  <c:v>Δεν γνωρίζει γραφή και ανάγνωση</c:v>
                </c:pt>
                <c:pt idx="14">
                  <c:v>Άτομα γεννηθέντα μετά την 1/1/2005</c:v>
                </c:pt>
              </c:strCache>
            </c:strRef>
          </c:cat>
          <c:val>
            <c:numRef>
              <c:f>1</c:f>
              <c:numCache>
                <c:formatCode>General</c:formatCode>
                <c:ptCount val="15"/>
                <c:pt idx="0">
                  <c:v>0.000374190228957646</c:v>
                </c:pt>
                <c:pt idx="1">
                  <c:v>0.00617413877780117</c:v>
                </c:pt>
                <c:pt idx="2">
                  <c:v>0.09221450454875</c:v>
                </c:pt>
                <c:pt idx="3">
                  <c:v>0.0437802567880446</c:v>
                </c:pt>
                <c:pt idx="4">
                  <c:v>0.002385462709605</c:v>
                </c:pt>
                <c:pt idx="5">
                  <c:v>0.0437802567880446</c:v>
                </c:pt>
                <c:pt idx="6">
                  <c:v>0.211674735143479</c:v>
                </c:pt>
                <c:pt idx="7">
                  <c:v>0.0437802567880446</c:v>
                </c:pt>
                <c:pt idx="8">
                  <c:v>0.0151547042727847</c:v>
                </c:pt>
                <c:pt idx="9">
                  <c:v>0.117776374564419</c:v>
                </c:pt>
                <c:pt idx="10">
                  <c:v>0.211674735143479</c:v>
                </c:pt>
                <c:pt idx="11">
                  <c:v>0.0437802567880446</c:v>
                </c:pt>
                <c:pt idx="12">
                  <c:v>0.076147711592881</c:v>
                </c:pt>
                <c:pt idx="13">
                  <c:v>0.0151547042727847</c:v>
                </c:pt>
                <c:pt idx="14">
                  <c:v>0.076147711592881</c:v>
                </c:pt>
              </c:numCache>
            </c:numRef>
          </c:val>
        </c:ser>
        <c:gapWidth val="100"/>
        <c:overlap val="0"/>
        <c:axId val="16082852"/>
        <c:axId val="77216710"/>
      </c:barChart>
      <c:catAx>
        <c:axId val="16082852"/>
        <c:scaling>
          <c:orientation val="minMax"/>
        </c:scaling>
        <c:delete val="0"/>
        <c:axPos val="b"/>
        <c:title>
          <c:tx>
            <c:rich>
              <a:bodyPr rot="0"/>
              <a:lstStyle/>
              <a:p>
                <a:pPr>
                  <a:defRPr b="1" sz="1100" spc="-1" strike="noStrike">
                    <a:latin typeface="Arial"/>
                  </a:defRPr>
                </a:pPr>
                <a:r>
                  <a:rPr b="1" sz="1100" spc="-1" strike="noStrike">
                    <a:latin typeface="Arial"/>
                  </a:rPr>
                  <a:t>Τίτλος</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77216710"/>
        <c:crosses val="autoZero"/>
        <c:auto val="1"/>
        <c:lblAlgn val="ctr"/>
        <c:lblOffset val="100"/>
      </c:catAx>
      <c:valAx>
        <c:axId val="77216710"/>
        <c:scaling>
          <c:orientation val="minMax"/>
        </c:scaling>
        <c:delete val="0"/>
        <c:axPos val="l"/>
        <c:majorGridlines>
          <c:spPr>
            <a:ln>
              <a:solidFill>
                <a:srgbClr val="b3b3b3"/>
              </a:solidFill>
            </a:ln>
          </c:spPr>
        </c:majorGridlines>
        <c:numFmt formatCode="#,##0.00" sourceLinked="0"/>
        <c:majorTickMark val="out"/>
        <c:minorTickMark val="none"/>
        <c:tickLblPos val="nextTo"/>
        <c:spPr>
          <a:ln>
            <a:solidFill>
              <a:srgbClr val="b3b3b3"/>
            </a:solidFill>
          </a:ln>
        </c:spPr>
        <c:txPr>
          <a:bodyPr/>
          <a:lstStyle/>
          <a:p>
            <a:pPr>
              <a:defRPr b="0" sz="1000" spc="-1" strike="noStrike">
                <a:latin typeface="Arial"/>
              </a:defRPr>
            </a:pPr>
          </a:p>
        </c:txPr>
        <c:crossAx val="16082852"/>
        <c:crossesAt val="1"/>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300" spc="-1" strike="noStrike">
                <a:latin typeface="Arial"/>
              </a:defRPr>
            </a:pPr>
            <a:r>
              <a:rPr b="1" sz="1300" spc="-1" strike="noStrike">
                <a:latin typeface="Arial"/>
              </a:rPr>
              <a:t>Τομείς παραγωγής Δήμου Παύλου Μελά 2011 για άτομα 15-34 ετών</a:t>
            </a:r>
          </a:p>
        </c:rich>
      </c:tx>
      <c:overlay val="0"/>
      <c:spPr>
        <a:noFill/>
        <a:ln>
          <a:noFill/>
        </a:ln>
      </c:spPr>
    </c:title>
    <c:autoTitleDeleted val="0"/>
    <c:view3D>
      <c:rotX val="30"/>
      <c:rotY val="0"/>
      <c:rAngAx val="1"/>
      <c:perspective val="10"/>
    </c:view3D>
    <c:floor>
      <c:spPr>
        <a:solidFill>
          <a:srgbClr val="cccccc"/>
        </a:solidFill>
        <a:ln>
          <a:noFill/>
        </a:ln>
      </c:spPr>
    </c:floor>
    <c:sideWall>
      <c:spPr>
        <a:noFill/>
        <a:ln>
          <a:solidFill>
            <a:srgbClr val="b3b3b3"/>
          </a:solidFill>
        </a:ln>
      </c:spPr>
    </c:sideWall>
    <c:backWall>
      <c:spPr>
        <a:noFill/>
        <a:ln>
          <a:solidFill>
            <a:srgbClr val="b3b3b3"/>
          </a:solidFill>
        </a:ln>
      </c:spPr>
    </c:backWall>
    <c:plotArea>
      <c:pie3DChart>
        <c:varyColors val="1"/>
        <c:ser>
          <c:idx val="0"/>
          <c:order val="0"/>
          <c:tx>
            <c:strRef>
              <c:f>label 0</c:f>
              <c:strCache>
                <c:ptCount val="1"/>
                <c:pt idx="0">
                  <c:v>15-34 (άτομα στην ύστερη εφηβεία και νέοι ενήλικες)</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Lbls>
            <c:numFmt formatCode="0.00%" sourceLinked="1"/>
            <c:dLbl>
              <c:idx val="0"/>
              <c:dLblPos val="outEnd"/>
              <c:showLegendKey val="0"/>
              <c:showVal val="1"/>
              <c:showCatName val="0"/>
              <c:showSerName val="0"/>
              <c:showPercent val="0"/>
            </c:dLbl>
            <c:dLbl>
              <c:idx val="1"/>
              <c:dLblPos val="outEnd"/>
              <c:showLegendKey val="0"/>
              <c:showVal val="1"/>
              <c:showCatName val="0"/>
              <c:showSerName val="0"/>
              <c:showPercent val="0"/>
            </c:dLbl>
            <c:dLbl>
              <c:idx val="2"/>
              <c:dLblPos val="outEnd"/>
              <c:showLegendKey val="0"/>
              <c:showVal val="1"/>
              <c:showCatName val="0"/>
              <c:showSerName val="0"/>
              <c:showPercent val="0"/>
            </c:dLbl>
            <c:dLblPos val="outEnd"/>
            <c:showLegendKey val="0"/>
            <c:showVal val="1"/>
            <c:showCatName val="0"/>
            <c:showSerName val="0"/>
            <c:showPercent val="0"/>
            <c:showLeaderLines val="0"/>
          </c:dLbls>
          <c:cat>
            <c:strRef>
              <c:f>categories</c:f>
              <c:strCache>
                <c:ptCount val="3"/>
                <c:pt idx="0">
                  <c:v>Πρωτογενής</c:v>
                </c:pt>
                <c:pt idx="1">
                  <c:v>Δευτερογενής</c:v>
                </c:pt>
                <c:pt idx="2">
                  <c:v>Τριτογενής</c:v>
                </c:pt>
              </c:strCache>
            </c:strRef>
          </c:cat>
          <c:val>
            <c:numRef>
              <c:f>0</c:f>
              <c:numCache>
                <c:formatCode>General</c:formatCode>
                <c:ptCount val="3"/>
                <c:pt idx="0">
                  <c:v>0.00602603246022819</c:v>
                </c:pt>
                <c:pt idx="1">
                  <c:v>0.227944721195565</c:v>
                </c:pt>
                <c:pt idx="2">
                  <c:v>0.766029246344207</c:v>
                </c:pt>
              </c:numCache>
            </c:numRef>
          </c:val>
        </c:ser>
      </c:pie3DChart>
    </c:plotArea>
    <c:legend>
      <c:legendPos val="r"/>
      <c:overlay val="0"/>
      <c:spPr>
        <a:noFill/>
        <a:ln>
          <a:noFill/>
        </a:ln>
      </c:spPr>
      <c:txPr>
        <a:bodyPr/>
        <a:lstStyle/>
        <a:p>
          <a:pPr>
            <a:defRPr b="0" sz="1000" spc="-1" strike="noStrike">
              <a:latin typeface="Arial"/>
            </a:defRPr>
          </a:pPr>
        </a:p>
      </c:txPr>
    </c:legend>
    <c:plotVisOnly val="1"/>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300" spc="-1" strike="noStrike">
                <a:latin typeface="Arial"/>
              </a:defRPr>
            </a:pPr>
            <a:r>
              <a:rPr b="1" sz="1300" spc="-1" strike="noStrike">
                <a:latin typeface="Arial"/>
              </a:rPr>
              <a:t>Τομείς παραγωγής Δήμου Παύλου Μελά 2011 για άτομα 35-64 ετών</a:t>
            </a:r>
          </a:p>
        </c:rich>
      </c:tx>
      <c:overlay val="0"/>
      <c:spPr>
        <a:noFill/>
        <a:ln>
          <a:noFill/>
        </a:ln>
      </c:spPr>
    </c:title>
    <c:autoTitleDeleted val="0"/>
    <c:view3D>
      <c:rotX val="30"/>
      <c:rotY val="0"/>
      <c:rAngAx val="1"/>
      <c:perspective val="10"/>
    </c:view3D>
    <c:floor>
      <c:spPr>
        <a:solidFill>
          <a:srgbClr val="cccccc"/>
        </a:solidFill>
        <a:ln>
          <a:noFill/>
        </a:ln>
      </c:spPr>
    </c:floor>
    <c:sideWall>
      <c:spPr>
        <a:noFill/>
        <a:ln>
          <a:solidFill>
            <a:srgbClr val="b3b3b3"/>
          </a:solidFill>
        </a:ln>
      </c:spPr>
    </c:sideWall>
    <c:backWall>
      <c:spPr>
        <a:noFill/>
        <a:ln>
          <a:solidFill>
            <a:srgbClr val="b3b3b3"/>
          </a:solidFill>
        </a:ln>
      </c:spPr>
    </c:backWall>
    <c:plotArea>
      <c:pie3DChart>
        <c:varyColors val="1"/>
        <c:ser>
          <c:idx val="0"/>
          <c:order val="0"/>
          <c:tx>
            <c:strRef>
              <c:f>label 0</c:f>
              <c:strCache>
                <c:ptCount val="1"/>
                <c:pt idx="0">
                  <c:v>35-64 (άτομα στη μέση ηλικία)</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Lbls>
            <c:numFmt formatCode="0.00%" sourceLinked="1"/>
            <c:dLbl>
              <c:idx val="0"/>
              <c:dLblPos val="outEnd"/>
              <c:showLegendKey val="0"/>
              <c:showVal val="1"/>
              <c:showCatName val="0"/>
              <c:showSerName val="0"/>
              <c:showPercent val="0"/>
            </c:dLbl>
            <c:dLbl>
              <c:idx val="1"/>
              <c:dLblPos val="outEnd"/>
              <c:showLegendKey val="0"/>
              <c:showVal val="1"/>
              <c:showCatName val="0"/>
              <c:showSerName val="0"/>
              <c:showPercent val="0"/>
            </c:dLbl>
            <c:dLbl>
              <c:idx val="2"/>
              <c:dLblPos val="outEnd"/>
              <c:showLegendKey val="0"/>
              <c:showVal val="1"/>
              <c:showCatName val="0"/>
              <c:showSerName val="0"/>
              <c:showPercent val="0"/>
            </c:dLbl>
            <c:dLblPos val="outEnd"/>
            <c:showLegendKey val="0"/>
            <c:showVal val="1"/>
            <c:showCatName val="0"/>
            <c:showSerName val="0"/>
            <c:showPercent val="0"/>
            <c:showLeaderLines val="0"/>
          </c:dLbls>
          <c:cat>
            <c:strRef>
              <c:f>categories</c:f>
              <c:strCache>
                <c:ptCount val="3"/>
                <c:pt idx="0">
                  <c:v>Πρωτογενής</c:v>
                </c:pt>
                <c:pt idx="1">
                  <c:v>Δευτερογενής</c:v>
                </c:pt>
                <c:pt idx="2">
                  <c:v>Τριτογενής</c:v>
                </c:pt>
              </c:strCache>
            </c:strRef>
          </c:cat>
          <c:val>
            <c:numRef>
              <c:f>0</c:f>
              <c:numCache>
                <c:formatCode>General</c:formatCode>
                <c:ptCount val="3"/>
                <c:pt idx="0">
                  <c:v>0.0124001962620991</c:v>
                </c:pt>
                <c:pt idx="1">
                  <c:v>0.26361568312592</c:v>
                </c:pt>
                <c:pt idx="2">
                  <c:v>0.723984120611981</c:v>
                </c:pt>
              </c:numCache>
            </c:numRef>
          </c:val>
        </c:ser>
      </c:pie3DChart>
    </c:plotArea>
    <c:legend>
      <c:legendPos val="r"/>
      <c:overlay val="0"/>
      <c:spPr>
        <a:noFill/>
        <a:ln>
          <a:noFill/>
        </a:ln>
      </c:spPr>
      <c:txPr>
        <a:bodyPr/>
        <a:lstStyle/>
        <a:p>
          <a:pPr>
            <a:defRPr b="0" sz="1000" spc="-1" strike="noStrike">
              <a:latin typeface="Arial"/>
            </a:defRPr>
          </a:pPr>
        </a:p>
      </c:txPr>
    </c:legend>
    <c:plotVisOnly val="1"/>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300" spc="-1" strike="noStrike">
                <a:latin typeface="Arial"/>
              </a:defRPr>
            </a:pPr>
            <a:r>
              <a:rPr b="1" sz="1300" spc="-1" strike="noStrike">
                <a:latin typeface="Arial"/>
              </a:rPr>
              <a:t>Επαγγελματική κατάσταση Δήμου Παύλου Μελά 2011 ανά ηλικιακή ομάδα</a:t>
            </a:r>
          </a:p>
        </c:rich>
      </c:tx>
      <c:overlay val="0"/>
      <c:spPr>
        <a:noFill/>
        <a:ln>
          <a:noFill/>
        </a:ln>
      </c:spPr>
    </c:title>
    <c:autoTitleDeleted val="0"/>
    <c:plotArea>
      <c:barChart>
        <c:barDir val="col"/>
        <c:grouping val="clustered"/>
        <c:varyColors val="0"/>
        <c:ser>
          <c:idx val="0"/>
          <c:order val="0"/>
          <c:tx>
            <c:strRef>
              <c:f>label 0</c:f>
              <c:strCache>
                <c:ptCount val="1"/>
                <c:pt idx="0">
                  <c:v>15-24</c:v>
                </c:pt>
              </c:strCache>
            </c:strRef>
          </c:tx>
          <c:spPr>
            <a:solidFill>
              <a:srgbClr val="004586"/>
            </a:solidFill>
            <a:ln>
              <a:noFill/>
            </a:ln>
          </c:spPr>
          <c:invertIfNegative val="0"/>
          <c:dLbls>
            <c:numFmt formatCode="General" sourceLinked="1"/>
            <c:showLegendKey val="0"/>
            <c:showVal val="0"/>
            <c:showCatName val="0"/>
            <c:showSerName val="0"/>
            <c:showPercent val="0"/>
            <c:showLeaderLines val="0"/>
          </c:dLbls>
          <c:cat>
            <c:strRef>
              <c:f>categories</c:f>
              <c:strCache>
                <c:ptCount val="3"/>
                <c:pt idx="0">
                  <c:v>Εργαζόμενος (-ή)</c:v>
                </c:pt>
                <c:pt idx="1">
                  <c:v>Ζητούσε εργασία</c:v>
                </c:pt>
                <c:pt idx="2">
                  <c:v>Ζητούσε εργασία για πρώτη φορά (Νέοι άνεργοι)</c:v>
                </c:pt>
              </c:strCache>
            </c:strRef>
          </c:cat>
          <c:val>
            <c:numRef>
              <c:f>0</c:f>
              <c:numCache>
                <c:formatCode>General</c:formatCode>
                <c:ptCount val="3"/>
                <c:pt idx="0">
                  <c:v>0.417777777777778</c:v>
                </c:pt>
                <c:pt idx="1">
                  <c:v>0.164444444444444</c:v>
                </c:pt>
                <c:pt idx="2">
                  <c:v>0.417777777777778</c:v>
                </c:pt>
              </c:numCache>
            </c:numRef>
          </c:val>
        </c:ser>
        <c:ser>
          <c:idx val="1"/>
          <c:order val="1"/>
          <c:tx>
            <c:strRef>
              <c:f>label 1</c:f>
              <c:strCache>
                <c:ptCount val="1"/>
                <c:pt idx="0">
                  <c:v>25-34</c:v>
                </c:pt>
              </c:strCache>
            </c:strRef>
          </c:tx>
          <c:spPr>
            <a:solidFill>
              <a:srgbClr val="ff420e"/>
            </a:solidFill>
            <a:ln>
              <a:noFill/>
            </a:ln>
          </c:spPr>
          <c:invertIfNegative val="0"/>
          <c:dLbls>
            <c:numFmt formatCode="General" sourceLinked="1"/>
            <c:showLegendKey val="0"/>
            <c:showVal val="0"/>
            <c:showCatName val="0"/>
            <c:showSerName val="0"/>
            <c:showPercent val="0"/>
            <c:showLeaderLines val="0"/>
          </c:dLbls>
          <c:cat>
            <c:strRef>
              <c:f>categories</c:f>
              <c:strCache>
                <c:ptCount val="3"/>
                <c:pt idx="0">
                  <c:v>Εργαζόμενος (-ή)</c:v>
                </c:pt>
                <c:pt idx="1">
                  <c:v>Ζητούσε εργασία</c:v>
                </c:pt>
                <c:pt idx="2">
                  <c:v>Ζητούσε εργασία για πρώτη φορά (Νέοι άνεργοι)</c:v>
                </c:pt>
              </c:strCache>
            </c:strRef>
          </c:cat>
          <c:val>
            <c:numRef>
              <c:f>1</c:f>
              <c:numCache>
                <c:formatCode>General</c:formatCode>
                <c:ptCount val="3"/>
                <c:pt idx="0">
                  <c:v>0.6936</c:v>
                </c:pt>
                <c:pt idx="1">
                  <c:v>0.21616</c:v>
                </c:pt>
                <c:pt idx="2">
                  <c:v>0.09024</c:v>
                </c:pt>
              </c:numCache>
            </c:numRef>
          </c:val>
        </c:ser>
        <c:ser>
          <c:idx val="2"/>
          <c:order val="2"/>
          <c:tx>
            <c:strRef>
              <c:f>label 2</c:f>
              <c:strCache>
                <c:ptCount val="1"/>
                <c:pt idx="0">
                  <c:v>35-44</c:v>
                </c:pt>
              </c:strCache>
            </c:strRef>
          </c:tx>
          <c:spPr>
            <a:solidFill>
              <a:srgbClr val="ffd320"/>
            </a:solidFill>
            <a:ln>
              <a:noFill/>
            </a:ln>
          </c:spPr>
          <c:invertIfNegative val="0"/>
          <c:dLbls>
            <c:numFmt formatCode="General" sourceLinked="1"/>
            <c:showLegendKey val="0"/>
            <c:showVal val="0"/>
            <c:showCatName val="0"/>
            <c:showSerName val="0"/>
            <c:showPercent val="0"/>
            <c:showLeaderLines val="0"/>
          </c:dLbls>
          <c:cat>
            <c:strRef>
              <c:f>categories</c:f>
              <c:strCache>
                <c:ptCount val="3"/>
                <c:pt idx="0">
                  <c:v>Εργαζόμενος (-ή)</c:v>
                </c:pt>
                <c:pt idx="1">
                  <c:v>Ζητούσε εργασία</c:v>
                </c:pt>
                <c:pt idx="2">
                  <c:v>Ζητούσε εργασία για πρώτη φορά (Νέοι άνεργοι)</c:v>
                </c:pt>
              </c:strCache>
            </c:strRef>
          </c:cat>
          <c:val>
            <c:numRef>
              <c:f>2</c:f>
              <c:numCache>
                <c:formatCode>General</c:formatCode>
                <c:ptCount val="3"/>
                <c:pt idx="0">
                  <c:v>0.77755402370072</c:v>
                </c:pt>
                <c:pt idx="1">
                  <c:v>0.209278909457052</c:v>
                </c:pt>
                <c:pt idx="2">
                  <c:v>0.0131670668422276</c:v>
                </c:pt>
              </c:numCache>
            </c:numRef>
          </c:val>
        </c:ser>
        <c:ser>
          <c:idx val="3"/>
          <c:order val="3"/>
          <c:tx>
            <c:strRef>
              <c:f>label 3</c:f>
              <c:strCache>
                <c:ptCount val="1"/>
                <c:pt idx="0">
                  <c:v>45-54</c:v>
                </c:pt>
              </c:strCache>
            </c:strRef>
          </c:tx>
          <c:spPr>
            <a:solidFill>
              <a:srgbClr val="579d1c"/>
            </a:solidFill>
            <a:ln>
              <a:noFill/>
            </a:ln>
          </c:spPr>
          <c:invertIfNegative val="0"/>
          <c:dLbls>
            <c:numFmt formatCode="General" sourceLinked="1"/>
            <c:showLegendKey val="0"/>
            <c:showVal val="0"/>
            <c:showCatName val="0"/>
            <c:showSerName val="0"/>
            <c:showPercent val="0"/>
            <c:showLeaderLines val="0"/>
          </c:dLbls>
          <c:cat>
            <c:strRef>
              <c:f>categories</c:f>
              <c:strCache>
                <c:ptCount val="3"/>
                <c:pt idx="0">
                  <c:v>Εργαζόμενος (-ή)</c:v>
                </c:pt>
                <c:pt idx="1">
                  <c:v>Ζητούσε εργασία</c:v>
                </c:pt>
                <c:pt idx="2">
                  <c:v>Ζητούσε εργασία για πρώτη φορά (Νέοι άνεργοι)</c:v>
                </c:pt>
              </c:strCache>
            </c:strRef>
          </c:cat>
          <c:val>
            <c:numRef>
              <c:f>3</c:f>
              <c:numCache>
                <c:formatCode>General</c:formatCode>
                <c:ptCount val="3"/>
                <c:pt idx="0">
                  <c:v>0.776098347440548</c:v>
                </c:pt>
                <c:pt idx="1">
                  <c:v>0.20677146311971</c:v>
                </c:pt>
                <c:pt idx="2">
                  <c:v>0.017130189439742</c:v>
                </c:pt>
              </c:numCache>
            </c:numRef>
          </c:val>
        </c:ser>
        <c:ser>
          <c:idx val="4"/>
          <c:order val="4"/>
          <c:tx>
            <c:strRef>
              <c:f>label 4</c:f>
              <c:strCache>
                <c:ptCount val="1"/>
                <c:pt idx="0">
                  <c:v>55-64</c:v>
                </c:pt>
              </c:strCache>
            </c:strRef>
          </c:tx>
          <c:spPr>
            <a:solidFill>
              <a:srgbClr val="7e0021"/>
            </a:solidFill>
            <a:ln>
              <a:noFill/>
            </a:ln>
          </c:spPr>
          <c:invertIfNegative val="0"/>
          <c:dLbls>
            <c:numFmt formatCode="General" sourceLinked="1"/>
            <c:showLegendKey val="0"/>
            <c:showVal val="0"/>
            <c:showCatName val="0"/>
            <c:showSerName val="0"/>
            <c:showPercent val="0"/>
            <c:showLeaderLines val="0"/>
          </c:dLbls>
          <c:cat>
            <c:strRef>
              <c:f>categories</c:f>
              <c:strCache>
                <c:ptCount val="3"/>
                <c:pt idx="0">
                  <c:v>Εργαζόμενος (-ή)</c:v>
                </c:pt>
                <c:pt idx="1">
                  <c:v>Ζητούσε εργασία</c:v>
                </c:pt>
                <c:pt idx="2">
                  <c:v>Ζητούσε εργασία για πρώτη φορά (Νέοι άνεργοι)</c:v>
                </c:pt>
              </c:strCache>
            </c:strRef>
          </c:cat>
          <c:val>
            <c:numRef>
              <c:f>4</c:f>
              <c:numCache>
                <c:formatCode>General</c:formatCode>
                <c:ptCount val="3"/>
                <c:pt idx="0">
                  <c:v>0.703645833333333</c:v>
                </c:pt>
                <c:pt idx="1">
                  <c:v>0.29375</c:v>
                </c:pt>
                <c:pt idx="2">
                  <c:v>0.00260416666666667</c:v>
                </c:pt>
              </c:numCache>
            </c:numRef>
          </c:val>
        </c:ser>
        <c:ser>
          <c:idx val="5"/>
          <c:order val="5"/>
          <c:tx>
            <c:strRef>
              <c:f>label 5</c:f>
              <c:strCache>
                <c:ptCount val="1"/>
                <c:pt idx="0">
                  <c:v/>
                </c:pt>
              </c:strCache>
            </c:strRef>
          </c:tx>
          <c:spPr>
            <a:solidFill>
              <a:srgbClr val="83caff"/>
            </a:solidFill>
            <a:ln>
              <a:noFill/>
            </a:ln>
          </c:spPr>
          <c:invertIfNegative val="0"/>
          <c:dLbls>
            <c:numFmt formatCode="General" sourceLinked="1"/>
            <c:showLegendKey val="0"/>
            <c:showVal val="0"/>
            <c:showCatName val="0"/>
            <c:showSerName val="0"/>
            <c:showPercent val="0"/>
            <c:showLeaderLines val="0"/>
          </c:dLbls>
          <c:cat>
            <c:strRef>
              <c:f>categories</c:f>
              <c:strCache>
                <c:ptCount val="3"/>
                <c:pt idx="0">
                  <c:v>Εργαζόμενος (-ή)</c:v>
                </c:pt>
                <c:pt idx="1">
                  <c:v>Ζητούσε εργασία</c:v>
                </c:pt>
                <c:pt idx="2">
                  <c:v>Ζητούσε εργασία για πρώτη φορά (Νέοι άνεργοι)</c:v>
                </c:pt>
              </c:strCache>
            </c:strRef>
          </c:cat>
          <c:val>
            <c:numRef>
              <c:f>5</c:f>
              <c:numCache>
                <c:formatCode>General</c:formatCode>
                <c:ptCount val="3"/>
                <c:pt idx="0">
                  <c:v/>
                </c:pt>
                <c:pt idx="1">
                  <c:v/>
                </c:pt>
                <c:pt idx="2">
                  <c:v/>
                </c:pt>
              </c:numCache>
            </c:numRef>
          </c:val>
        </c:ser>
        <c:gapWidth val="100"/>
        <c:overlap val="0"/>
        <c:axId val="83675427"/>
        <c:axId val="19535681"/>
      </c:barChart>
      <c:catAx>
        <c:axId val="83675427"/>
        <c:scaling>
          <c:orientation val="minMax"/>
        </c:scaling>
        <c:delete val="0"/>
        <c:axPos val="b"/>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19535681"/>
        <c:crosses val="autoZero"/>
        <c:auto val="1"/>
        <c:lblAlgn val="ctr"/>
        <c:lblOffset val="100"/>
      </c:catAx>
      <c:valAx>
        <c:axId val="19535681"/>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83675427"/>
        <c:crosses val="autoZero"/>
      </c:valAx>
      <c:spPr>
        <a:noFill/>
        <a:ln>
          <a:solidFill>
            <a:srgbClr val="b3b3b3"/>
          </a:solidFill>
        </a:ln>
      </c:spPr>
    </c:plotArea>
    <c:legend>
      <c:layout>
        <c:manualLayout>
          <c:xMode val="edge"/>
          <c:yMode val="edge"/>
          <c:x val="0.813591850794744"/>
          <c:y val="0.153617356311784"/>
          <c:w val="0.0758366141732283"/>
          <c:h val="0.193788276465442"/>
        </c:manualLayout>
      </c:layout>
      <c:spPr>
        <a:noFill/>
        <a:ln>
          <a:noFill/>
        </a:ln>
      </c:spPr>
      <c:txPr>
        <a:bodyPr/>
        <a:lstStyle/>
        <a:p>
          <a:pPr>
            <a:defRPr b="0" sz="1000" spc="-1" strike="noStrike">
              <a:latin typeface="Arial"/>
            </a:defRPr>
          </a:pPr>
        </a:p>
      </c:txPr>
    </c:legend>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Normal.dotm</Template>
  <TotalTime>156</TotalTime>
  <Application>LibreOffice/6.0.7.3$Linux_X86_64 LibreOffice_project/00m0$Build-3</Application>
  <Pages>9</Pages>
  <Words>1009</Words>
  <Characters>5948</Characters>
  <CharactersWithSpaces>6920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2020-03-08T22:35:00Z</dcterms:created>
  <dc:creator/>
  <dc:description/>
  <dc:language>en-US</dc:language>
  <cp:lastModifiedBy/>
  <dcterms:modified xsi:type="dcterms:W3CDTF">2020-03-10T04:09:45Z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