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center"/>
        <w:rPr>
          <w:rFonts w:ascii="Calibri" w:hAnsi="Calibri"/>
          <w:sz w:val="24"/>
          <w:szCs w:val="24"/>
          <w:lang w:val="el-GR"/>
        </w:rPr>
      </w:pPr>
      <w:r>
        <w:rPr>
          <w:rFonts w:ascii="Calibri" w:hAnsi="Calibri"/>
          <w:sz w:val="24"/>
          <w:szCs w:val="24"/>
          <w:lang w:val="el-GR"/>
        </w:rPr>
        <w:t>Αναπτυξιακές δυνατότητες και προοπτικές</w:t>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t>1. Αξιολόγηση θέσης και ρόλου του Δήμου στη Μητροπολιτική περιοχή Θεσσαλονίκης</w:t>
      </w:r>
    </w:p>
    <w:p>
      <w:pPr>
        <w:pStyle w:val="Textbody1"/>
        <w:spacing w:lineRule="auto" w:line="240"/>
        <w:rPr>
          <w:rFonts w:ascii="Calibri" w:hAnsi="Calibri"/>
          <w:sz w:val="24"/>
          <w:szCs w:val="24"/>
          <w:lang w:val="el-GR"/>
        </w:rPr>
      </w:pPr>
      <w:r>
        <w:rPr>
          <w:rFonts w:ascii="Calibri" w:hAnsi="Calibri"/>
          <w:sz w:val="24"/>
          <w:szCs w:val="24"/>
          <w:lang w:val="el-GR"/>
        </w:rPr>
      </w:r>
    </w:p>
    <w:p>
      <w:pPr>
        <w:pStyle w:val="Textbody1"/>
        <w:spacing w:lineRule="auto" w:line="240"/>
        <w:rPr>
          <w:rFonts w:ascii="Calibri" w:hAnsi="Calibri"/>
          <w:sz w:val="24"/>
          <w:szCs w:val="24"/>
        </w:rPr>
      </w:pPr>
      <w:r>
        <w:rPr>
          <w:rFonts w:ascii="Calibri" w:hAnsi="Calibri"/>
          <w:sz w:val="24"/>
          <w:szCs w:val="24"/>
          <w:lang w:val="el-GR"/>
        </w:rPr>
        <w:t>Ο Δήμος Παύλου Μελά σχηματίστηκε μετά τη διοικητική μεταρρύθμιση, που εισήγαγε το σχέδιο Καλλικράτης, από τη συνένωση των όμορων δήμων Σταυρούπολης, Πολίχνης και Ευκαρπίας. Βρίσκεται στη βορειοδυτική πλευρά του πολεοδομικού συγκροτήματος της Θεσσαλονίκης και έχει συνολικό μόνιμο πληθυσμό 99.240 άτομα και έκταση 23.763 στρέμματα. Ένα μεγάλο κομμάτι χαρακτηρίζεται ως πυκνοκατοικημένη αστική περιοχή, καθώς την περιοχή διατρέχουν μεγάλοι και σημαντικοί οδικοί άξονες της Θεσσαλονίκης, όπως εσωτερική περιφερειακή, Εγνατία οδός και οδός Λαγκαδά. Επιπλέον, στο βόρειο τμήμα και εκατέρωθεν της οδού Λαγκαδά, εντοπίζονται βιομηχανικές λειτουργίες και εμπορικές εγκαταστάσεις, καθώς και δύο νοσοκομεία περιφερειακής εμβέλειας, το 424 Γενικό Στρατιωτικό Νοσοκομείο και το Γενικό Νοσοκομείο Παπαγεωργίου, ενώ στο ανατολικό τμήμα παρατηρείται συγκέντρωση πράσινων εκτάσεων.</w:t>
      </w:r>
    </w:p>
    <w:p>
      <w:pPr>
        <w:pStyle w:val="Textbody1"/>
        <w:spacing w:lineRule="auto" w:line="240"/>
        <w:rPr>
          <w:rFonts w:ascii="Calibri" w:hAnsi="Calibri"/>
          <w:sz w:val="24"/>
          <w:szCs w:val="24"/>
          <w:lang w:val="el-GR"/>
        </w:rPr>
      </w:pPr>
      <w:r>
        <w:rPr>
          <w:rFonts w:ascii="Calibri" w:hAnsi="Calibri"/>
          <w:sz w:val="24"/>
          <w:szCs w:val="24"/>
          <w:lang w:val="el-GR"/>
        </w:rPr>
      </w:r>
    </w:p>
    <w:p>
      <w:pPr>
        <w:pStyle w:val="Textbody1"/>
        <w:spacing w:lineRule="auto" w:line="240"/>
        <w:jc w:val="center"/>
        <w:rPr>
          <w:rFonts w:ascii="Calibri" w:hAnsi="Calibri"/>
          <w:sz w:val="24"/>
          <w:szCs w:val="24"/>
        </w:rPr>
      </w:pPr>
      <w:r>
        <w:rPr/>
        <w:drawing>
          <wp:inline distT="0" distB="0" distL="0" distR="0">
            <wp:extent cx="2910840" cy="2409825"/>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2"/>
                    <a:stretch>
                      <a:fillRect/>
                    </a:stretch>
                  </pic:blipFill>
                  <pic:spPr bwMode="auto">
                    <a:xfrm>
                      <a:off x="0" y="0"/>
                      <a:ext cx="2910840" cy="2409825"/>
                    </a:xfrm>
                    <a:prstGeom prst="rect">
                      <a:avLst/>
                    </a:prstGeom>
                  </pic:spPr>
                </pic:pic>
              </a:graphicData>
            </a:graphic>
          </wp:inline>
        </w:drawing>
      </w:r>
    </w:p>
    <w:p>
      <w:pPr>
        <w:pStyle w:val="Textbody1"/>
        <w:spacing w:lineRule="auto" w:line="240"/>
        <w:jc w:val="center"/>
        <w:rPr>
          <w:rFonts w:ascii="Calibri" w:hAnsi="Calibri"/>
          <w:sz w:val="24"/>
          <w:szCs w:val="24"/>
        </w:rPr>
      </w:pPr>
      <w:r>
        <w:rPr>
          <w:rFonts w:ascii="Calibri" w:hAnsi="Calibri"/>
          <w:sz w:val="24"/>
          <w:szCs w:val="24"/>
          <w:lang w:val="el-GR"/>
        </w:rPr>
        <w:t>Εικόνα 1</w:t>
      </w:r>
      <w:r>
        <w:rPr>
          <w:rFonts w:ascii="Calibri" w:hAnsi="Calibri"/>
          <w:sz w:val="24"/>
          <w:szCs w:val="24"/>
        </w:rPr>
        <w:t xml:space="preserve">: </w:t>
      </w:r>
      <w:r>
        <w:rPr>
          <w:rFonts w:ascii="Calibri" w:hAnsi="Calibri"/>
          <w:sz w:val="24"/>
          <w:szCs w:val="24"/>
          <w:lang w:val="el-GR"/>
        </w:rPr>
        <w:t>Δήμος Παύλου Μελά</w:t>
      </w:r>
    </w:p>
    <w:p>
      <w:pPr>
        <w:pStyle w:val="Textbody1"/>
        <w:spacing w:lineRule="auto" w:line="240"/>
        <w:jc w:val="center"/>
        <w:rPr>
          <w:rFonts w:ascii="Calibri" w:hAnsi="Calibri"/>
          <w:sz w:val="24"/>
          <w:szCs w:val="24"/>
        </w:rPr>
      </w:pPr>
      <w:r>
        <w:rPr>
          <w:rFonts w:ascii="Calibri" w:hAnsi="Calibri"/>
          <w:sz w:val="24"/>
          <w:szCs w:val="24"/>
          <w:lang w:val="el-GR"/>
        </w:rPr>
        <w:t>Πηγή</w:t>
      </w:r>
      <w:r>
        <w:rPr>
          <w:rFonts w:ascii="Calibri" w:hAnsi="Calibri"/>
          <w:sz w:val="24"/>
          <w:szCs w:val="24"/>
        </w:rPr>
        <w:t>: Google Maps</w:t>
      </w:r>
    </w:p>
    <w:p>
      <w:pPr>
        <w:pStyle w:val="Textbody1"/>
        <w:spacing w:lineRule="auto" w:line="240"/>
        <w:jc w:val="center"/>
        <w:rPr>
          <w:rFonts w:ascii="Calibri" w:hAnsi="Calibri"/>
          <w:sz w:val="24"/>
          <w:szCs w:val="24"/>
        </w:rPr>
      </w:pPr>
      <w:r>
        <w:rPr>
          <w:rFonts w:ascii="Calibri" w:hAnsi="Calibri"/>
          <w:sz w:val="24"/>
          <w:szCs w:val="24"/>
        </w:rPr>
      </w:r>
    </w:p>
    <w:p>
      <w:pPr>
        <w:pStyle w:val="Textbody1"/>
        <w:rPr>
          <w:rFonts w:ascii="Calibri" w:hAnsi="Calibri"/>
          <w:sz w:val="24"/>
          <w:szCs w:val="24"/>
        </w:rPr>
      </w:pPr>
      <w:r>
        <w:rPr>
          <w:rFonts w:ascii="Calibri" w:hAnsi="Calibri"/>
          <w:sz w:val="24"/>
          <w:szCs w:val="24"/>
          <w:lang w:val="el-GR"/>
        </w:rPr>
        <w:t>Μετά από επεξεργασία δεδομένων προκύπτει ότι για το έτος 2018 το 68% της περιοχής αποτελείται από τεχνητές επιφάνειες, ενώ οι γεωργικές επιφάνειες καλύπτουν 10% και οι δασικές εκτάσεις 22% αντίστοιχα. Αυτό αποτυπώνεται και στον παρακάτω χάρτη.</w:t>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rPr>
      </w:pPr>
      <w:r>
        <w:rPr/>
        <w:drawing>
          <wp:inline distT="0" distB="0" distL="0" distR="0">
            <wp:extent cx="6105525" cy="27146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165" t="-371" r="-165" b="-371"/>
                    <a:stretch>
                      <a:fillRect/>
                    </a:stretch>
                  </pic:blipFill>
                  <pic:spPr bwMode="auto">
                    <a:xfrm>
                      <a:off x="0" y="0"/>
                      <a:ext cx="6105525" cy="2714625"/>
                    </a:xfrm>
                    <a:prstGeom prst="rect">
                      <a:avLst/>
                    </a:prstGeom>
                  </pic:spPr>
                </pic:pic>
              </a:graphicData>
            </a:graphic>
          </wp:inline>
        </w:drawing>
      </w:r>
    </w:p>
    <w:p>
      <w:pPr>
        <w:pStyle w:val="Textbody1"/>
        <w:jc w:val="center"/>
        <w:rPr>
          <w:rFonts w:ascii="Calibri" w:hAnsi="Calibri"/>
          <w:sz w:val="24"/>
          <w:szCs w:val="24"/>
          <w:lang w:val="el-GR"/>
        </w:rPr>
      </w:pPr>
      <w:r>
        <w:rPr>
          <w:rFonts w:ascii="Calibri" w:hAnsi="Calibri"/>
          <w:sz w:val="24"/>
          <w:szCs w:val="24"/>
          <w:lang w:val="el-GR"/>
        </w:rPr>
        <w:t>Πηγή: Geodata</w:t>
      </w:r>
    </w:p>
    <w:p>
      <w:pPr>
        <w:pStyle w:val="Textbody1"/>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t>2. Αξιολόγηση ενδογενούς ανάπτυξης: ανθρώπινο και παραγωγικό δυναμικό, απασχόληση</w:t>
      </w:r>
    </w:p>
    <w:p>
      <w:pPr>
        <w:pStyle w:val="Textbody1"/>
        <w:rPr>
          <w:rFonts w:ascii="Calibri" w:hAnsi="Calibri"/>
          <w:sz w:val="24"/>
          <w:szCs w:val="24"/>
          <w:lang w:val="el-GR"/>
        </w:rPr>
      </w:pPr>
      <w:r>
        <w:rPr>
          <w:rFonts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 xml:space="preserve">2.1 Εξέλιξη του πληθυσμού - διάγνωση τάσεων  </w:t>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t>Η εν λόγω περιοχή κατοικήθηκε από τις αρχές της προσφυγικής εποχής σχηματίζοντας μικρούς αστικούς πυρήνες ενώ τα μεταπολεμικά χρόνια χαρακτήρισε η αγροτική έξοδος και η περιοχή του δήμου, αλλά και όλης της δυτικής Θεσσαλονίκης, ως περιφέρειας του δεύτερου μεγαλύτερου αστικού κέντρου της χώρας, γνώρισε μια πρώτη φάση έντονης αστικοποίησης. Μεγάλη σημασία για την πληθυσμιακή και οικιστική εξέλιξη των περιοχών κατά τα χρόνια της έντονης αστικοποίησης έπαιξε η διαθεσιμότητα φτηνής γης, καθώς και η γειτνίαση με τους χώρους παραγωγής, που την εποχή εκείνη συγκεντρώνονταν κυρίως δυτικά του κέντρου της Θεσσαλονίκης.</w:t>
      </w:r>
    </w:p>
    <w:p>
      <w:pPr>
        <w:pStyle w:val="Textbody1"/>
        <w:rPr>
          <w:rFonts w:ascii="Calibri" w:hAnsi="Calibri"/>
          <w:sz w:val="24"/>
          <w:szCs w:val="24"/>
        </w:rPr>
      </w:pPr>
      <w:r>
        <w:rPr>
          <w:rFonts w:ascii="Calibri" w:hAnsi="Calibri"/>
          <w:sz w:val="24"/>
          <w:szCs w:val="24"/>
          <w:lang w:val="el-GR"/>
        </w:rPr>
        <w:t xml:space="preserve">Στην ευρύτερη δυτική περιοχή η μεγαλύτερη αύξηση πληθυσμού εντοπίζεται στην δεκαετία του 60, σημαντικές όμως διαφοροποιήσεις σημειώνονται μεταξύ των επί μέρους περιοχών. Οι διαφοροποιήσεις αυτές είναι συνάρτηση μιας σειράς παραμέτρων, όπως η εγγύτητα των περιοχών στο κέντρο της πόλης, η διαθεσιμότητα γης προς οικοδόμηση - εντός αλλά και εκτός σχεδίου - οι επιτρεπόμενοι συντελεστές δόμησης, ο βαθμός ανάπτυξης των εξυπηρετήσεων της περιοχής, η συγκοινωνιακή σύνδεσή της με την πόλη κλπ.. Έτσι η Σταυρούπολη είναι από τις περιοχές του Δήμου που είχε την μεγαλύτερη αύξηση πληθυσμού προσεγγίζοντας τις αστικές πυκνότητες κατά τις δεκαετίες της έντονης εσωτερικής μετανάστευσης. </w:t>
      </w:r>
      <w:r>
        <w:rPr>
          <w:rFonts w:ascii="Calibri" w:hAnsi="Calibri"/>
          <w:sz w:val="24"/>
          <w:szCs w:val="24"/>
        </w:rPr>
        <w:t>Η Πολίχνη επίσης ακολουθούσε αυτές τις αυξητικές τάσεις.</w:t>
      </w:r>
    </w:p>
    <w:p>
      <w:pPr>
        <w:pStyle w:val="Textbody1"/>
        <w:rPr>
          <w:rFonts w:ascii="Calibri" w:hAnsi="Calibri"/>
          <w:sz w:val="24"/>
          <w:szCs w:val="24"/>
        </w:rPr>
      </w:pPr>
      <w:r>
        <w:rPr>
          <w:rFonts w:ascii="Calibri" w:hAnsi="Calibri"/>
          <w:sz w:val="24"/>
          <w:szCs w:val="24"/>
          <w:lang w:val="el-GR"/>
        </w:rPr>
        <w:t>Μετά το 1980 οι αυξητικές τάσεις διαφοροποιούνται για τις συνοικίες της Δυτικής Θεσσαλονίκης. Η Σταυρούπολη αναπτύσσεται πλέον με χαμηλότερους ρυθμούς, ενώ η Πολίχνη και η Ευκαρπία σημειώνουν σημαντική αύξηση λόγω διαθεσιμότητας οικοδομήσιμης γης, που καθιστούσαν τις περιοχές αυτές ελκυστικές στα μεσαία εισοδηματικά στρώματα, αλλά και της εγκατάστασης πολλών μεταναστών των Βαλκανίων και της επιστροφής παλιννοστούντων ομογενών κατά τη δεκαετία του 90.</w:t>
      </w:r>
    </w:p>
    <w:p>
      <w:pPr>
        <w:pStyle w:val="Textbody1"/>
        <w:rPr>
          <w:rFonts w:ascii="Calibri" w:hAnsi="Calibri"/>
          <w:sz w:val="24"/>
          <w:szCs w:val="24"/>
          <w:lang w:val="el-GR"/>
        </w:rPr>
      </w:pPr>
      <w:r>
        <w:rPr>
          <w:rFonts w:ascii="Calibri" w:hAnsi="Calibri"/>
          <w:sz w:val="24"/>
          <w:szCs w:val="24"/>
          <w:lang w:val="el-GR"/>
        </w:rPr>
        <w:t>Παρακάτω παρουσιάζεται ένας πίνακας πληθυσμού για όλο το ΠΣΘ κατά τα έτη 2001 και 2011</w:t>
      </w:r>
    </w:p>
    <w:tbl>
      <w:tblPr>
        <w:tblW w:w="88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03" w:type="dxa"/>
          <w:left w:w="73" w:type="dxa"/>
          <w:bottom w:w="25" w:type="dxa"/>
          <w:right w:w="47" w:type="dxa"/>
        </w:tblCellMar>
      </w:tblPr>
      <w:tblGrid>
        <w:gridCol w:w="2323"/>
        <w:gridCol w:w="1548"/>
        <w:gridCol w:w="1930"/>
        <w:gridCol w:w="1631"/>
        <w:gridCol w:w="1381"/>
      </w:tblGrid>
      <w:tr>
        <w:trPr>
          <w:trHeight w:val="997"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uppressAutoHyphens w:val="false"/>
              <w:spacing w:lineRule="auto" w:line="259"/>
              <w:ind w:left="0" w:right="60"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ΔΗΜΟΣ</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uppressAutoHyphens w:val="false"/>
              <w:spacing w:lineRule="auto" w:line="259" w:before="0" w:after="62"/>
              <w:ind w:left="22" w:right="0" w:hanging="0"/>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ΠΡΑΓΜΑΤΙΚΟΣ</w:t>
            </w:r>
          </w:p>
          <w:p>
            <w:pPr>
              <w:pStyle w:val="Normal"/>
              <w:suppressAutoHyphens w:val="false"/>
              <w:spacing w:lineRule="auto" w:line="259"/>
              <w:ind w:left="439" w:right="0" w:hanging="353"/>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ΠΛΗΘΥΣΜΟΣ 2001</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uppressAutoHyphens w:val="false"/>
              <w:spacing w:lineRule="auto" w:line="259"/>
              <w:ind w:left="24" w:right="0" w:firstLine="187"/>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ΠΡΑΓΜΑΤΙΚΟΣ ΠΛΗΘΥΣΜΟΣ 2011</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uppressAutoHyphens w:val="false"/>
              <w:spacing w:lineRule="auto" w:line="259"/>
              <w:ind w:left="48" w:right="0"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ΕΓΓΕΓΡΑΜΕΝΟΙ</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uppressAutoHyphens w:val="false"/>
              <w:spacing w:lineRule="auto" w:line="259"/>
              <w:ind w:left="0" w:right="56"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ΜΕΛΗ ΔΣ</w:t>
            </w:r>
          </w:p>
        </w:tc>
      </w:tr>
      <w:tr>
        <w:trPr>
          <w:trHeight w:val="408"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76923C"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ΠΑΥΛΟΥ ΜΕΛΑ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76923C" w:val="clear"/>
            <w:vAlign w:val="bottom"/>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84.397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76923C" w:val="clear"/>
            <w:vAlign w:val="bottom"/>
          </w:tcPr>
          <w:p>
            <w:pPr>
              <w:pStyle w:val="Normal"/>
              <w:suppressAutoHyphens w:val="false"/>
              <w:spacing w:lineRule="auto" w:line="259"/>
              <w:ind w:left="0" w:right="101"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99.245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76923C" w:val="clear"/>
            <w:vAlign w:val="bottom"/>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65.175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76923C"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41 </w:t>
            </w:r>
          </w:p>
        </w:tc>
      </w:tr>
      <w:tr>
        <w:trPr>
          <w:trHeight w:val="704"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right" w:pos="2198" w:leader="none"/>
              </w:tabs>
              <w:suppressAutoHyphens w:val="false"/>
              <w:spacing w:lineRule="auto" w:line="259" w:before="0" w:after="68"/>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ΑΜΠΕΛΟΚΗΠΩΝ </w:t>
              <w:tab/>
              <w:t xml:space="preserve"> </w:t>
            </w:r>
          </w:p>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ΜΕΝΕΜΕΝΗΣ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55.869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lineRule="auto" w:line="259"/>
              <w:ind w:left="0" w:right="101"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52.127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40.159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33 </w:t>
            </w:r>
          </w:p>
        </w:tc>
      </w:tr>
      <w:tr>
        <w:trPr>
          <w:trHeight w:val="413"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ΚΟΡΔΕΛΙΟΥ ΕΥΟΣΜΟΥ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74.254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10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101.753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62.859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41 </w:t>
            </w:r>
          </w:p>
        </w:tc>
      </w:tr>
      <w:tr>
        <w:trPr>
          <w:trHeight w:val="413"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ΝΕΑΠΟΛΗΣ - ΣΥΚΕΩΝ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86.397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101"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84.741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69.181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41 </w:t>
            </w:r>
          </w:p>
        </w:tc>
      </w:tr>
      <w:tr>
        <w:trPr>
          <w:trHeight w:val="410"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ΚΑΛΑΜΑΡΙΑΣ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87.255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101"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91.279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58.651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41 </w:t>
            </w:r>
          </w:p>
        </w:tc>
      </w:tr>
      <w:tr>
        <w:trPr>
          <w:trHeight w:val="410"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ΠΥΛΑΙΑ - ΧΟΡΤΙΑΤΗ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50.162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101"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70.110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48.176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33 </w:t>
            </w:r>
          </w:p>
        </w:tc>
      </w:tr>
      <w:tr>
        <w:trPr>
          <w:trHeight w:val="414" w:hRule="atLeast"/>
        </w:trPr>
        <w:tc>
          <w:tcPr>
            <w:tcW w:w="232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ΘΕΣΣΑΛΟΝΙΚΗΣ </w:t>
            </w:r>
          </w:p>
        </w:tc>
        <w:tc>
          <w:tcPr>
            <w:tcW w:w="154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vAlign w:val="bottom"/>
          </w:tcPr>
          <w:p>
            <w:pPr>
              <w:pStyle w:val="Normal"/>
              <w:suppressAutoHyphens w:val="false"/>
              <w:spacing w:lineRule="auto" w:line="259"/>
              <w:ind w:left="0" w:right="10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375.276 </w:t>
            </w:r>
          </w:p>
        </w:tc>
        <w:tc>
          <w:tcPr>
            <w:tcW w:w="1930"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vAlign w:val="bottom"/>
          </w:tcPr>
          <w:p>
            <w:pPr>
              <w:pStyle w:val="Normal"/>
              <w:suppressAutoHyphens w:val="false"/>
              <w:spacing w:lineRule="auto" w:line="259"/>
              <w:ind w:left="0" w:right="10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325.182 </w:t>
            </w:r>
          </w:p>
        </w:tc>
        <w:tc>
          <w:tcPr>
            <w:tcW w:w="1631"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vAlign w:val="bottom"/>
          </w:tcPr>
          <w:p>
            <w:pPr>
              <w:pStyle w:val="Normal"/>
              <w:suppressAutoHyphens w:val="false"/>
              <w:spacing w:lineRule="auto" w:line="259"/>
              <w:ind w:left="0" w:right="62"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269.137 </w:t>
            </w:r>
          </w:p>
        </w:tc>
        <w:tc>
          <w:tcPr>
            <w:tcW w:w="1381"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4</w:t>
            </w:r>
          </w:p>
        </w:tc>
      </w:tr>
    </w:tbl>
    <w:p>
      <w:pPr>
        <w:pStyle w:val="Textbody1"/>
        <w:jc w:val="center"/>
        <w:rPr>
          <w:rFonts w:ascii="Calibri" w:hAnsi="Calibri"/>
          <w:sz w:val="24"/>
          <w:szCs w:val="24"/>
          <w:lang w:val="el-GR"/>
        </w:rPr>
      </w:pPr>
      <w:r>
        <w:rPr>
          <w:rFonts w:ascii="Calibri" w:hAnsi="Calibri"/>
          <w:sz w:val="24"/>
          <w:szCs w:val="24"/>
          <w:lang w:val="el-GR"/>
        </w:rPr>
        <w:t>Πηγή: ΕΛΣΤΑΤ</w:t>
      </w:r>
    </w:p>
    <w:p>
      <w:pPr>
        <w:pStyle w:val="Textbody1"/>
        <w:rPr>
          <w:rFonts w:ascii="Calibri" w:hAnsi="Calibri"/>
          <w:sz w:val="24"/>
          <w:szCs w:val="24"/>
          <w:lang w:val="el-GR"/>
        </w:rPr>
      </w:pPr>
      <w:r>
        <w:rPr>
          <w:rFonts w:ascii="Calibri" w:hAnsi="Calibri"/>
          <w:sz w:val="24"/>
          <w:szCs w:val="24"/>
          <w:lang w:val="el-GR"/>
        </w:rPr>
      </w:r>
      <w:bookmarkStart w:id="0" w:name="_GoBack"/>
      <w:bookmarkStart w:id="1" w:name="_GoBack"/>
      <w:bookmarkEnd w:id="1"/>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2.2 Ηλικιακή κατανομή πληθυσμού</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 xml:space="preserve">  </w:t>
      </w:r>
    </w:p>
    <w:p>
      <w:pPr>
        <w:pStyle w:val="Normal"/>
        <w:spacing w:lineRule="auto" w:line="259" w:before="0" w:after="93"/>
        <w:ind w:left="10" w:right="185" w:hanging="10"/>
        <w:rPr>
          <w:rFonts w:ascii="Calibri" w:hAnsi="Calibri"/>
          <w:sz w:val="24"/>
          <w:szCs w:val="24"/>
        </w:rPr>
      </w:pPr>
      <w:r>
        <w:rPr>
          <w:rFonts w:eastAsia="Calibri" w:cs="Calibri" w:ascii="Calibri" w:hAnsi="Calibri"/>
          <w:sz w:val="24"/>
          <w:szCs w:val="24"/>
          <w:lang w:val="el-GR"/>
        </w:rPr>
        <w:t>Η μορφή της πληθυσμιακής πυραμίδας για το 2011 ακολουθεί το πρότυπο της Ελλάδας, δηλαδή είναι μια πυραμίδα μειούμενης δομής πληθυσμού με μεγάλη συγκέντρωση της ομάδας 30-45. Σε σχέση με άλλες περιοχές της επικράτειας παρουσιάζει μεγαλύτερο αριθμό νέων, και μέσων ηλικιών, πράγμα που εξηγείται από την μεταγενέστερη εγκατάσταση και ανάπτυξη των περιοχών της Πολίχνης και Ευκαρπίας.</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Πιο συγκεκριμένα:</w:t>
      </w:r>
    </w:p>
    <w:p>
      <w:pPr>
        <w:pStyle w:val="Normal"/>
        <w:numPr>
          <w:ilvl w:val="0"/>
          <w:numId w:val="1"/>
        </w:numPr>
        <w:spacing w:lineRule="auto" w:line="259" w:before="0" w:after="93"/>
        <w:rPr>
          <w:rFonts w:ascii="Calibri" w:hAnsi="Calibri" w:eastAsia="Calibri" w:cs="Calibri"/>
          <w:sz w:val="24"/>
          <w:szCs w:val="24"/>
          <w:lang w:val="el-GR"/>
        </w:rPr>
      </w:pPr>
      <w:r>
        <w:rPr>
          <w:rFonts w:eastAsia="Calibri" w:cs="Calibri" w:ascii="Calibri" w:hAnsi="Calibri"/>
          <w:sz w:val="24"/>
          <w:szCs w:val="24"/>
          <w:lang w:val="el-GR"/>
        </w:rPr>
        <w:t>Η κατανομή του πληθυσμού ανά φύλο είναι σχετικά ισορροπημένη (αναλογία 51/49 υπέρ των γυναικών).</w:t>
      </w:r>
    </w:p>
    <w:p>
      <w:pPr>
        <w:pStyle w:val="Normal"/>
        <w:numPr>
          <w:ilvl w:val="0"/>
          <w:numId w:val="1"/>
        </w:numPr>
        <w:spacing w:lineRule="auto" w:line="259" w:before="0" w:after="93"/>
        <w:rPr>
          <w:rFonts w:ascii="Calibri" w:hAnsi="Calibri"/>
          <w:sz w:val="24"/>
          <w:szCs w:val="24"/>
        </w:rPr>
      </w:pPr>
      <w:r>
        <w:rPr>
          <w:rFonts w:eastAsia="Calibri" w:cs="Calibri" w:ascii="Calibri" w:hAnsi="Calibri"/>
          <w:sz w:val="24"/>
          <w:szCs w:val="24"/>
          <w:lang w:val="el-GR"/>
        </w:rPr>
        <w:t>Στην τρίτη ηλικία το ποσοστό των γυναικών είναι αρκετά μεγαλύτερο.</w:t>
      </w:r>
    </w:p>
    <w:p>
      <w:pPr>
        <w:pStyle w:val="Normal"/>
        <w:numPr>
          <w:ilvl w:val="0"/>
          <w:numId w:val="1"/>
        </w:numPr>
        <w:spacing w:lineRule="auto" w:line="259" w:before="0" w:after="93"/>
        <w:rPr>
          <w:rFonts w:ascii="Calibri" w:hAnsi="Calibri" w:eastAsia="Calibri" w:cs="Calibri"/>
          <w:sz w:val="24"/>
          <w:szCs w:val="24"/>
          <w:lang w:val="el-GR"/>
        </w:rPr>
      </w:pPr>
      <w:r>
        <w:rPr>
          <w:rFonts w:eastAsia="Calibri" w:cs="Calibri" w:ascii="Calibri" w:hAnsi="Calibri"/>
          <w:sz w:val="24"/>
          <w:szCs w:val="24"/>
          <w:lang w:val="el-GR"/>
        </w:rPr>
        <w:t>Περίπου το 40% του πληθυσμού κυμαίνεται μεταξύ 25 και 49 ετών.</w:t>
      </w:r>
    </w:p>
    <w:p>
      <w:pPr>
        <w:pStyle w:val="Normal"/>
        <w:numPr>
          <w:ilvl w:val="0"/>
          <w:numId w:val="1"/>
        </w:numPr>
        <w:spacing w:lineRule="auto" w:line="259" w:before="0" w:after="93"/>
        <w:rPr/>
      </w:pPr>
      <w:r>
        <w:rPr>
          <w:rFonts w:eastAsia="Calibri" w:cs="Calibri" w:ascii="Calibri" w:hAnsi="Calibri"/>
          <w:sz w:val="24"/>
          <w:szCs w:val="24"/>
          <w:lang w:val="el-GR"/>
        </w:rPr>
        <w:t>Σχετικά αυξημένος πληθυσμός ανηλίκων.</w:t>
      </w:r>
    </w:p>
    <w:p>
      <w:pPr>
        <w:pStyle w:val="Normal"/>
        <w:numPr>
          <w:ilvl w:val="0"/>
          <w:numId w:val="1"/>
        </w:numPr>
        <w:spacing w:lineRule="auto" w:line="259" w:before="0" w:after="93"/>
        <w:rPr>
          <w:rFonts w:ascii="Calibri" w:hAnsi="Calibri" w:eastAsia="Calibri" w:cs="Calibri"/>
          <w:sz w:val="24"/>
          <w:szCs w:val="24"/>
          <w:lang w:val="el-GR"/>
        </w:rPr>
      </w:pPr>
      <w:r>
        <w:rPr/>
      </w:r>
    </w:p>
    <w:p>
      <w:pPr>
        <w:pStyle w:val="Normal"/>
        <w:spacing w:lineRule="auto" w:line="259" w:before="0" w:after="93"/>
        <w:ind w:left="10" w:right="185" w:hanging="10"/>
        <w:rPr/>
      </w:pPr>
      <w:r>
        <w:rPr/>
        <w:drawing>
          <wp:inline distT="0" distB="0" distL="0" distR="0">
            <wp:extent cx="6443345" cy="362458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259" w:before="0" w:after="93"/>
        <w:ind w:left="10" w:right="185" w:hanging="10"/>
        <w:rPr>
          <w:rFonts w:ascii="Calibri" w:hAnsi="Calibri" w:eastAsia="Calibri" w:cs="Calibri"/>
          <w:sz w:val="24"/>
          <w:szCs w:val="24"/>
          <w:lang w:val="el-GR"/>
        </w:rPr>
      </w:pPr>
      <w:r>
        <w:rPr/>
      </w:r>
    </w:p>
    <w:p>
      <w:pPr>
        <w:pStyle w:val="Normal"/>
        <w:spacing w:lineRule="auto" w:line="259" w:before="0" w:after="93"/>
        <w:ind w:left="0" w:right="185" w:hanging="0"/>
        <w:rPr>
          <w:rFonts w:ascii="Calibri" w:hAnsi="Calibri"/>
          <w:sz w:val="24"/>
          <w:szCs w:val="24"/>
        </w:rPr>
      </w:pPr>
      <w:r>
        <w:rPr>
          <w:rFonts w:eastAsia="Calibri" w:cs="Calibri" w:ascii="Calibri" w:hAnsi="Calibri"/>
          <w:sz w:val="24"/>
          <w:szCs w:val="24"/>
          <w:lang w:val="el-GR"/>
        </w:rPr>
        <w:t>2.3 Δείκτης γήρανσης, δείκτης εξάρτησης, δείκτης αντικατάστασης</w:t>
      </w:r>
    </w:p>
    <w:p>
      <w:pPr>
        <w:pStyle w:val="Normal"/>
        <w:spacing w:lineRule="auto" w:line="259" w:before="0" w:after="93"/>
        <w:ind w:left="0" w:right="185" w:hanging="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sz w:val="24"/>
          <w:szCs w:val="24"/>
        </w:rPr>
      </w:pPr>
      <w:r>
        <w:rPr>
          <w:rFonts w:eastAsia="Calibri" w:cs="Calibri" w:ascii="Calibri" w:hAnsi="Calibri"/>
          <w:sz w:val="24"/>
          <w:szCs w:val="24"/>
          <w:lang w:val="el-GR"/>
        </w:rPr>
        <w:t xml:space="preserve">Όσον αφορά τη δημογραφική γήρανση, δηλαδή την αύξηση του ποσοστού των ατόμων ηλικιακής ομάδας 65+ στο σύνολο του πληθυσμού. Είναι ένα φαινόμενο που απασχολεί την Ευρώπη τα τελευταία χρόνια και αποτελεί μια ένδειξη δημογραφικού προβλήματος. </w:t>
      </w:r>
      <w:r>
        <w:rPr>
          <w:rFonts w:eastAsia="Calibri" w:cs="Calibri" w:ascii="Calibri" w:hAnsi="Calibri"/>
          <w:b w:val="false"/>
          <w:i w:val="false"/>
          <w:caps w:val="false"/>
          <w:smallCaps w:val="false"/>
          <w:color w:val="000000"/>
          <w:spacing w:val="0"/>
          <w:sz w:val="24"/>
          <w:szCs w:val="24"/>
          <w:lang w:val="el-GR"/>
        </w:rPr>
        <w:t>Ενδεικτικά, το 2015 η ΕΕ εμφάνιζε αυξημένες τάσεις γήρανσης με τους άνω των 65 ετών να αντιπροσωπεύουν το 20% του πληθυσμού, με το μεγαλύτερο ποσοστό να το κατέχουν η Ιταλία 21,7%, η Γερμανία 21% και η Ελλάδα 20,9%, με την τελευταία να αυξάνει ακόμα περισσότερο τα ποσοστά της. Η τιμή αυτή για τον εν λόγω Δήμο υπολογίζεται στα 13%, αρκετά χαμηλότερη από αυτή της χώρας.</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sz w:val="24"/>
          <w:szCs w:val="24"/>
        </w:rPr>
      </w:pPr>
      <w:r>
        <w:rPr>
          <w:rFonts w:eastAsia="Calibri" w:cs="Calibri" w:ascii="Calibri" w:hAnsi="Calibri"/>
          <w:sz w:val="24"/>
          <w:szCs w:val="24"/>
          <w:lang w:val="el-GR"/>
        </w:rPr>
        <w:t>Ο δείκτης γήρανσης εκφράζει την αναλογία ατόμων τρίτης ηλικίας (65+) σε σχέση με τους νέους (0-14 ετών). Ο δείκτης αυτό για τον δήμο Παύλου Μελά είναι περίπου 70%. Είναι σχετικά χαμηλός λόγω ύπαρξης σημαντικού αριθμού νέων και αρκετά αισθητά χαμηλότερος από τον εθνικό μέσο όρο που αντιστοιχεί σε περίπου 140%.</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right="185" w:hanging="0"/>
        <w:rPr>
          <w:rFonts w:ascii="Calibri" w:hAnsi="Calibri" w:eastAsia="Calibri" w:cs="Calibri"/>
          <w:sz w:val="24"/>
          <w:szCs w:val="24"/>
          <w:lang w:val="el-GR"/>
        </w:rPr>
      </w:pPr>
      <w:r>
        <w:rPr/>
      </w:r>
    </w:p>
    <w:p>
      <w:pPr>
        <w:pStyle w:val="Normal"/>
        <w:spacing w:lineRule="auto" w:line="259" w:before="0" w:after="93"/>
        <w:ind w:right="185" w:hanging="0"/>
        <w:rPr>
          <w:rFonts w:ascii="Calibri" w:hAnsi="Calibri"/>
          <w:sz w:val="24"/>
          <w:szCs w:val="24"/>
        </w:rPr>
      </w:pPr>
      <w:r>
        <w:rPr>
          <w:rFonts w:eastAsia="Calibri" w:cs="Calibri" w:ascii="Calibri" w:hAnsi="Calibri"/>
          <w:sz w:val="24"/>
          <w:szCs w:val="24"/>
          <w:lang w:val="el-GR"/>
        </w:rPr>
        <w:t>Ο δείκτης εξάρτησης είναι ο αριθμός των ατόμων 0-14 ετών και 65 και άνω ως προς 100 άτομα ηλικίας 15-64 ετών. Πρόκειται για έναν δημογραφικό δείκτη, που επιχειρεί να προσεγγίσει το ποσοστό του εξαρτημένου πληθυσμού από τον εν δυνάμει ενεργό. Ο δήμος παρουσιάζει δείκτη 43% χαμηλότερο από τον εθνικό μέσο όρο που είναι 56% το 2015. Με άλλα λόγια για κάθε 100 άτομα παραγωγικής ηλικίας αντιστοιχούν 43 εξαρτώμενα μέλη.</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Ο δείκτης αντικατάστασης είναι ο αριθμός νέων 10-14 ετών ως προς 100 άτομα 60-64 ετών και δείχνει το πόσο νεαρός είναι ο πληθυσμός. Για την περιοχή του δήμου ο δείκτης αυτός είναι 166%, ιδιαίτερα αυξημένος σε σχέση με το 105,83 που ίσχυε για επίπεδο χώρας το 2010.</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2.4 Επίπεδο εκπαίδευσης</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Παρατηρείται πως μεταξύ των δύο φύλων δεν υπάρχει ιδιαίτερη διαφοροποίηση όσον αφορά το επίπεδο εκπαίδευσης. Τα άτομα που δεν γνωρίζουν γραφή και ανάγνωση είναι ελάχιστα όπως και αυτά που κατέχουν μεταπτυχιακό. Οι περισσότεροι κατέχουν απολυτήριο Λυκείου και ορισμένοι εξ αυτών έχουν πτυχίο πανεπιστημίου ή μεταδευτεροβάθμιας εκπαίδευσης.</w:t>
      </w:r>
    </w:p>
    <w:p>
      <w:pPr>
        <w:pStyle w:val="Textbody1"/>
        <w:rPr>
          <w:rFonts w:ascii="Calibri" w:hAnsi="Calibri"/>
          <w:sz w:val="24"/>
          <w:szCs w:val="24"/>
          <w:lang w:val="el-GR"/>
        </w:rPr>
      </w:pPr>
      <w:r>
        <w:rPr/>
        <w:drawing>
          <wp:inline distT="0" distB="0" distL="0" distR="0">
            <wp:extent cx="6546215" cy="435737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pPr>
      <w:r>
        <w:rPr>
          <w:rFonts w:ascii="Calibri" w:hAnsi="Calibri"/>
          <w:sz w:val="24"/>
          <w:szCs w:val="24"/>
          <w:lang w:val="el-GR"/>
        </w:rPr>
        <w:t>2.5 Τομείς παραγωγής και απασχόληση</w:t>
      </w:r>
    </w:p>
    <w:p>
      <w:pPr>
        <w:pStyle w:val="Textbody1"/>
        <w:rPr>
          <w:rFonts w:ascii="Calibri" w:hAnsi="Calibri"/>
          <w:sz w:val="24"/>
          <w:szCs w:val="24"/>
          <w:lang w:val="el-GR"/>
        </w:rPr>
      </w:pPr>
      <w:r>
        <w:rPr>
          <w:rFonts w:ascii="Calibri" w:hAnsi="Calibri"/>
          <w:sz w:val="24"/>
          <w:szCs w:val="24"/>
          <w:lang w:val="el-GR"/>
        </w:rPr>
      </w:r>
    </w:p>
    <w:p>
      <w:pPr>
        <w:pStyle w:val="Textbody1"/>
        <w:rPr/>
      </w:pPr>
      <w:r>
        <w:rPr>
          <w:rFonts w:ascii="Calibri" w:hAnsi="Calibri"/>
          <w:sz w:val="24"/>
          <w:szCs w:val="24"/>
          <w:lang w:val="el-GR"/>
        </w:rPr>
        <w:t>Η παραγωγική δραστηριότητα του Δήμου Παύλου Μελά αποτελείται κυρίως από τον τριτογενή τομέα καθώς ο δευτερογενής τομέας καταλαμβάνει ένα μικρότερο μερίδιο. Ο πρωτογενής τομέας συμβάλει ελάχιστα στο σύνολο της οικονομίας. Αυτή η γενική τάση παρατηρείται ανεξάρτητα από της ηλικιακές ομάδες αν και υφίσταται υποχώρηση του τριτογενούς τομέα έναντι του δευτερογενούς όσο ανεβαίνουν οι ηλικίες.</w:t>
      </w:r>
    </w:p>
    <w:p>
      <w:pPr>
        <w:pStyle w:val="Textbody1"/>
        <w:rPr/>
      </w:pPr>
      <w:r>
        <w:rPr/>
        <w:drawing>
          <wp:inline distT="0" distB="0" distL="0" distR="0">
            <wp:extent cx="5649595" cy="314706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Textbody1"/>
        <w:rPr>
          <w:rFonts w:ascii="Calibri" w:hAnsi="Calibri"/>
          <w:sz w:val="24"/>
          <w:szCs w:val="24"/>
          <w:lang w:val="el-GR"/>
        </w:rPr>
      </w:pPr>
      <w:r>
        <w:rPr>
          <w:rFonts w:ascii="Calibri" w:hAnsi="Calibri"/>
          <w:sz w:val="24"/>
          <w:szCs w:val="24"/>
          <w:lang w:val="el-GR"/>
        </w:rPr>
      </w:r>
    </w:p>
    <w:p>
      <w:pPr>
        <w:pStyle w:val="Textbody1"/>
        <w:rPr/>
      </w:pPr>
      <w:r>
        <w:rPr/>
        <w:drawing>
          <wp:inline distT="0" distB="0" distL="0" distR="0">
            <wp:extent cx="5643880" cy="3241675"/>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Heading3"/>
        <w:rPr>
          <w:rFonts w:ascii="Calibri" w:hAnsi="Calibri"/>
          <w:sz w:val="24"/>
          <w:szCs w:val="24"/>
          <w:lang w:val="el-GR"/>
        </w:rPr>
      </w:pPr>
      <w:r>
        <w:rPr>
          <w:rFonts w:ascii="Calibri" w:hAnsi="Calibri"/>
          <w:sz w:val="24"/>
          <w:szCs w:val="24"/>
          <w:lang w:val="el-GR"/>
        </w:rPr>
      </w:r>
    </w:p>
    <w:p>
      <w:pPr>
        <w:pStyle w:val="Heading3"/>
        <w:rPr/>
      </w:pPr>
      <w:r>
        <w:rPr>
          <w:rFonts w:ascii="Calibri" w:hAnsi="Calibri"/>
          <w:b w:val="false"/>
          <w:bCs w:val="false"/>
          <w:sz w:val="24"/>
          <w:szCs w:val="24"/>
          <w:lang w:val="el-GR"/>
        </w:rPr>
        <w:t xml:space="preserve">Όσον αφορά την επαγγελματική κατάσταση του Δήμου για το έτος 2011, προκύπτει ότι δεν υπάρχει ισορροπημένη εκπροσώπηση των ηλικιακών ομάδων στον εργασιακό χώρο. Η ένταξη στο χώρο εργασίας είναι ιδιαίτερα δύσκολη για τους νέους έως 34 ετών, αφού μόνο το 64% εξ αυτών είναι εργαζόμενοι. Επιπλέον ενδιαφέρον παρουσιάζει το γεγονός ότι από την ηλικιακή ομάδα μεταξύ 55 και 64 ετών, τρεις στους δέκα ζητούσαν εργασία. </w:t>
      </w:r>
    </w:p>
    <w:p>
      <w:pPr>
        <w:pStyle w:val="Heading3"/>
        <w:rPr>
          <w:rFonts w:ascii="Calibri" w:hAnsi="Calibri"/>
          <w:b w:val="false"/>
          <w:b w:val="false"/>
          <w:bCs w:val="false"/>
          <w:sz w:val="24"/>
          <w:szCs w:val="24"/>
          <w:lang w:val="el-GR"/>
        </w:rPr>
      </w:pPr>
      <w:r>
        <w:rPr/>
      </w:r>
    </w:p>
    <w:p>
      <w:pPr>
        <w:pStyle w:val="Heading3"/>
        <w:rPr/>
      </w:pPr>
      <w:r>
        <w:rPr/>
        <w:drawing>
          <wp:inline distT="0" distB="0" distL="0" distR="0">
            <wp:extent cx="6402705" cy="4115435"/>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Heading3"/>
        <w:rPr>
          <w:rFonts w:ascii="Calibri" w:hAnsi="Calibri"/>
          <w:b w:val="false"/>
          <w:b w:val="false"/>
          <w:bCs w:val="false"/>
          <w:sz w:val="24"/>
          <w:szCs w:val="24"/>
        </w:rPr>
      </w:pPr>
      <w:r>
        <w:rPr/>
      </w:r>
    </w:p>
    <w:p>
      <w:pPr>
        <w:pStyle w:val="Heading3"/>
        <w:rPr/>
      </w:pPr>
      <w:r>
        <w:rPr>
          <w:rFonts w:ascii="Calibri" w:hAnsi="Calibri"/>
          <w:b w:val="false"/>
          <w:bCs w:val="false"/>
          <w:sz w:val="24"/>
          <w:szCs w:val="24"/>
        </w:rPr>
        <w:t xml:space="preserve">Με βάση τα στοιχεία της απογραφής του 2011 μπορούμε να προχωρήσουμε σε κάποιες εκτιμήσεις για το σύνολο του Δήμου. Tο ποσοστό ανεργίας του Δήμου για το 2011 ήταν 27,5% του ενεργού πληθυσμού. Την ίδια χρονική στιγμή - δηλαδή το 2011 ο μέσος όρος της καταγεγραμμένης ανεργίας σε επίπεδο χώρας ήταν 17,65%. Δηλαδή, για το 2011 η ανεργία στην περιοχή του Δήμου καταγράφονταν 10 ποσοστιαίες μονάδες πάνω </w:t>
      </w:r>
      <w:r>
        <w:rPr>
          <w:b w:val="false"/>
          <w:bCs w:val="false"/>
          <w:sz w:val="24"/>
          <w:szCs w:val="24"/>
        </w:rPr>
        <w:t>από τον εθνικό μέσο όρο. Από το 2011 και έως  το 2015 σε επίπεδο χώρας έχει καταγραφή αύξηση της ανεργίας άνω των 10 ποσοστιαίων ομάδων, γεγονός που προτρέπει στην εκτίμηση επιπέδου ανεργίας για την περιοχή μας άνω του 30% του ενεργού πληθυσμού.</w:t>
      </w:r>
    </w:p>
    <w:p>
      <w:pPr>
        <w:pStyle w:val="Heading3"/>
        <w:rPr>
          <w:b w:val="false"/>
          <w:b w:val="false"/>
          <w:bCs w:val="false"/>
        </w:rPr>
      </w:pPr>
      <w:r>
        <w:rPr>
          <w:b w:val="false"/>
          <w:bCs w:val="false"/>
        </w:rPr>
      </w:r>
    </w:p>
    <w:p>
      <w:pPr>
        <w:pStyle w:val="Heading3"/>
        <w:rPr>
          <w:sz w:val="24"/>
          <w:szCs w:val="24"/>
        </w:rPr>
      </w:pPr>
      <w:r>
        <w:rPr>
          <w:b w:val="false"/>
          <w:bCs w:val="false"/>
          <w:sz w:val="24"/>
          <w:szCs w:val="24"/>
        </w:rPr>
        <w:t>Όσον αφορά τα εισοδήματα των οικογενειών διαπιστώθηκε ότι το 27,1% των αιτούντων διαθέτουν ετήσιο εισόδημα από 0 - 7.500 ευρώ, το 12% έχουν εισόδημα από 7.500 - 12.000 ευρώ, το 18,1% από 12.000 - 18.000 ευρώ, το 15,7% εισόδημα από 18.000 - 25.000 ευρώ, το 24,2% από 25.000 - 50.000 ευρώκαι το 2% εισόδημα άνω των 50.000 ευρώ. Με βάση τα παραπάνω αποτελέσματα μπορούμε να παρατηρήσουμε αφενός μια σχετική πόλωση μεταξύ των πολύ χαμηλών και των πολύ υψηλών εισοδημάτων και αφετέρου ότι το μεγαλύτερο ποσοστό των οικογενειών με παιδιά βρίσκεται κάτω από τα όρια της φτώχειας.</w:t>
      </w:r>
    </w:p>
    <w:p>
      <w:pPr>
        <w:pStyle w:val="Heading3"/>
        <w:rPr>
          <w:b w:val="false"/>
          <w:b w:val="false"/>
          <w:bCs w:val="false"/>
        </w:rPr>
      </w:pPr>
      <w:r>
        <w:rPr>
          <w:b w:val="false"/>
          <w:bCs w:val="false"/>
        </w:rPr>
      </w:r>
    </w:p>
    <w:p>
      <w:pPr>
        <w:pStyle w:val="Heading3"/>
        <w:rPr/>
      </w:pPr>
      <w:r>
        <w:rPr>
          <w:rFonts w:ascii="Calibri" w:hAnsi="Calibri"/>
          <w:sz w:val="24"/>
          <w:szCs w:val="24"/>
          <w:lang w:val="el-GR"/>
        </w:rPr>
        <w:t>3. Αξιολόγηση κλαδικών εξειδικεύσεων</w:t>
      </w:r>
    </w:p>
    <w:p>
      <w:pPr>
        <w:pStyle w:val="Heading3"/>
        <w:rPr>
          <w:rFonts w:ascii="Calibri" w:hAnsi="Calibri"/>
          <w:sz w:val="24"/>
          <w:szCs w:val="24"/>
          <w:lang w:val="el-GR"/>
        </w:rPr>
      </w:pPr>
      <w:r>
        <w:rPr>
          <w:rFonts w:ascii="Calibri" w:hAnsi="Calibri"/>
          <w:sz w:val="24"/>
          <w:szCs w:val="24"/>
          <w:lang w:val="el-GR"/>
        </w:rPr>
      </w:r>
    </w:p>
    <w:p>
      <w:pPr>
        <w:pStyle w:val="Heading3"/>
        <w:rPr/>
      </w:pPr>
      <w:r>
        <w:rPr>
          <w:rFonts w:ascii="Calibri" w:hAnsi="Calibri"/>
          <w:b w:val="false"/>
          <w:bCs w:val="false"/>
          <w:sz w:val="24"/>
          <w:szCs w:val="24"/>
          <w:lang w:val="el-GR"/>
        </w:rPr>
        <w:t xml:space="preserve">Όπως φαίνεται και στο παρακάτω διάγραμμα οι κλάδοι απασχόλησης με αυξημένο ποσοστό είναι αυτοί που εκπροσωπούν τον τριτογενή τομέα. Πιο συγκεκριμένα παρατηρείται ότι ένα μεγάλο ποσοστό, ιδιαίτερα των νέων απασχολείται με το εμπόριο και με την επισκευή οχημάτων. Δεύτερη θέση κατέχει η μεταποίηση, πράγμα που επαληθεύεται από την έντονη βιομηχανική δραστηριότητα της περιοχής. Τέλος, αρκετά χαμηλότερα είναι τα ποσοστά στους εξής κλάδους: μεταφορές, εστίαση, υπηρεσίες υγείας, εκπαίδευση και </w:t>
      </w:r>
      <w:r>
        <w:drawing>
          <wp:anchor behindDoc="0" distT="0" distB="0" distL="0" distR="0" simplePos="0" locked="0" layoutInCell="1" allowOverlap="1" relativeHeight="2">
            <wp:simplePos x="0" y="0"/>
            <wp:positionH relativeFrom="column">
              <wp:posOffset>-307975</wp:posOffset>
            </wp:positionH>
            <wp:positionV relativeFrom="paragraph">
              <wp:posOffset>5276850</wp:posOffset>
            </wp:positionV>
            <wp:extent cx="6792595" cy="575246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6792595" cy="5752465"/>
                    </a:xfrm>
                    <a:prstGeom prst="rect">
                      <a:avLst/>
                    </a:prstGeom>
                  </pic:spPr>
                </pic:pic>
              </a:graphicData>
            </a:graphic>
          </wp:anchor>
        </w:drawing>
      </w:r>
      <w:r>
        <w:rPr>
          <w:rFonts w:ascii="Calibri" w:hAnsi="Calibri"/>
          <w:b w:val="false"/>
          <w:bCs w:val="false"/>
          <w:sz w:val="24"/>
          <w:szCs w:val="24"/>
          <w:lang w:val="el-GR"/>
        </w:rPr>
        <w:t>κ</w:t>
      </w:r>
      <w:r>
        <w:rPr>
          <w:rFonts w:ascii="Calibri" w:hAnsi="Calibri"/>
          <w:b w:val="false"/>
          <w:bCs w:val="false"/>
          <w:sz w:val="24"/>
          <w:szCs w:val="24"/>
          <w:lang w:val="el-GR"/>
        </w:rPr>
        <w:t>ατασκευές.</w:t>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pPr>
      <w:r>
        <w:rPr>
          <w:rFonts w:ascii="Calibri" w:hAnsi="Calibri"/>
          <w:sz w:val="24"/>
          <w:szCs w:val="24"/>
          <w:lang w:val="el-GR"/>
        </w:rPr>
        <w:t>4. Αξιολόγηση αναπτυξιακών εισροών με βάση το ευρύτερο οικονομικό πλαίσιο</w:t>
      </w:r>
    </w:p>
    <w:p>
      <w:pPr>
        <w:pStyle w:val="Standard"/>
        <w:tabs>
          <w:tab w:val="left" w:pos="3240" w:leader="none"/>
        </w:tab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sz w:val="24"/>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textAlignment w:val="baseline"/>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ascii="Calibri" w:hAnsi="Calibri" w:cs="OpenSymbol"/>
      <w:sz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ascii="Calibri" w:hAnsi="Calibri" w:cs="OpenSymbol"/>
      <w:sz w:val="24"/>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val="true"/>
      <w:widowControl w:val="false"/>
      <w:bidi w:val="0"/>
      <w:spacing w:before="240" w:after="120"/>
      <w:jc w:val="left"/>
    </w:pPr>
    <w:rPr>
      <w:rFonts w:ascii="Liberation Sans" w:hAnsi="Liberation Sans" w:eastAsia="Noto Sans CJK SC" w:cs="Lohit Devanagari"/>
      <w:color w:val="auto"/>
      <w:kern w:val="2"/>
      <w:sz w:val="28"/>
      <w:szCs w:val="28"/>
      <w:lang w:val="en-US" w:eastAsia="zh-CN" w:bidi="hi-IN"/>
    </w:rPr>
  </w:style>
  <w:style w:type="paragraph" w:styleId="TextBody">
    <w:name w:val="Body Text"/>
    <w:basedOn w:val="Normal"/>
    <w:pPr>
      <w:spacing w:lineRule="auto" w:line="276" w:before="0" w:after="140"/>
    </w:pPr>
    <w:rPr/>
  </w:style>
  <w:style w:type="paragraph" w:styleId="List">
    <w:name w:val="List"/>
    <w:basedOn w:val="TextBody"/>
    <w:pPr>
      <w:widowControl w:val="false"/>
      <w:bidi w:val="0"/>
      <w:jc w:val="left"/>
    </w:pPr>
    <w:rPr>
      <w:rFonts w:ascii="Liberation Serif" w:hAnsi="Liberation Serif" w:eastAsia="Noto Sans CJK SC" w:cs="Lohit Devanagari"/>
      <w:color w:val="auto"/>
      <w:kern w:val="2"/>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bidi w:val="0"/>
      <w:jc w:val="left"/>
    </w:pPr>
    <w:rPr>
      <w:rFonts w:ascii="Liberation Serif" w:hAnsi="Liberation Serif" w:eastAsia="Noto Sans CJK SC" w:cs="Lohit Devanagari"/>
      <w:color w:val="auto"/>
      <w:kern w:val="2"/>
      <w:sz w:val="24"/>
      <w:szCs w:val="24"/>
      <w:lang w:val="en-US" w:eastAsia="zh-CN" w:bidi="hi-IN"/>
    </w:rPr>
  </w:style>
  <w:style w:type="paragraph" w:styleId="Standard">
    <w:name w:val="Standard"/>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paragraph" w:styleId="Textbody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solidFill>
                  <a:srgbClr val="000000"/>
                </a:solidFill>
                <a:latin typeface="Arial"/>
              </a:defRPr>
            </a:pPr>
            <a:r>
              <a:rPr b="1" sz="1300" spc="-1" strike="noStrike">
                <a:solidFill>
                  <a:srgbClr val="000000"/>
                </a:solidFill>
                <a:latin typeface="Arial"/>
              </a:rPr>
              <a:t>Πυραμίδα πληθυσμού Δήμου Παύλου Μελά 2011</a:t>
            </a:r>
          </a:p>
        </c:rich>
      </c:tx>
      <c:overlay val="0"/>
      <c:spPr>
        <a:solidFill>
          <a:srgbClr val="ffffff"/>
        </a:solidFill>
        <a:ln>
          <a:noFill/>
        </a:ln>
      </c:spPr>
    </c:title>
    <c:autoTitleDeleted val="0"/>
    <c:plotArea>
      <c:barChart>
        <c:barDir val="bar"/>
        <c:grouping val="stacked"/>
        <c:varyColors val="0"/>
        <c:ser>
          <c:idx val="0"/>
          <c:order val="0"/>
          <c:tx>
            <c:strRef>
              <c:f>label 0</c:f>
              <c:strCache>
                <c:ptCount val="1"/>
                <c:pt idx="0">
                  <c:v>Άνδρες</c:v>
                </c:pt>
              </c:strCache>
            </c:strRef>
          </c:tx>
          <c:spPr>
            <a:solidFill>
              <a:srgbClr val="004586"/>
            </a:solidFill>
            <a:ln w="9000">
              <a:solidFill>
                <a:srgbClr val="000000"/>
              </a:solidFill>
              <a:round/>
            </a:ln>
          </c:spPr>
          <c:invertIfNegative val="0"/>
          <c:dLbls>
            <c:numFmt formatCode="General" sourceLinked="1"/>
            <c:dLblPos val="ctr"/>
            <c:showLegendKey val="0"/>
            <c:showVal val="0"/>
            <c:showCatName val="0"/>
            <c:showSerName val="0"/>
            <c:showPercent val="0"/>
            <c:showLeaderLines val="0"/>
          </c:dLbls>
          <c:cat>
            <c:strRef>
              <c:f>categories</c:f>
              <c:strCache>
                <c:ptCount val="18"/>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 και άνω</c:v>
                </c:pt>
              </c:strCache>
            </c:strRef>
          </c:cat>
          <c:val>
            <c:numRef>
              <c:f>0</c:f>
              <c:numCache>
                <c:formatCode>General</c:formatCode>
                <c:ptCount val="18"/>
                <c:pt idx="0">
                  <c:v>-0.0311420851112664</c:v>
                </c:pt>
                <c:pt idx="1">
                  <c:v>-0.029441529039864</c:v>
                </c:pt>
                <c:pt idx="2">
                  <c:v>-0.029441529039864</c:v>
                </c:pt>
                <c:pt idx="3">
                  <c:v>-0.029441529039864</c:v>
                </c:pt>
                <c:pt idx="4">
                  <c:v>-0.0262699398024016</c:v>
                </c:pt>
                <c:pt idx="5">
                  <c:v>-0.0345118986760701</c:v>
                </c:pt>
                <c:pt idx="6">
                  <c:v>-0.0437345463271119</c:v>
                </c:pt>
                <c:pt idx="7">
                  <c:v>-0.0437345463271119</c:v>
                </c:pt>
                <c:pt idx="8">
                  <c:v>-0.0437345463271119</c:v>
                </c:pt>
                <c:pt idx="9">
                  <c:v>-0.039123222501591</c:v>
                </c:pt>
                <c:pt idx="10">
                  <c:v>-0.0345118986760701</c:v>
                </c:pt>
                <c:pt idx="11">
                  <c:v>-0.029441529039864</c:v>
                </c:pt>
                <c:pt idx="12">
                  <c:v>-0.0215229888055419</c:v>
                </c:pt>
                <c:pt idx="13">
                  <c:v>-0.0155658261259663</c:v>
                </c:pt>
                <c:pt idx="14">
                  <c:v>-0.0155658261259663</c:v>
                </c:pt>
                <c:pt idx="15">
                  <c:v>-0.0108293079884404</c:v>
                </c:pt>
                <c:pt idx="16">
                  <c:v>-0.00717780722162523</c:v>
                </c:pt>
                <c:pt idx="17">
                  <c:v>-0.00165882463406746</c:v>
                </c:pt>
              </c:numCache>
            </c:numRef>
          </c:val>
        </c:ser>
        <c:ser>
          <c:idx val="1"/>
          <c:order val="1"/>
          <c:tx>
            <c:strRef>
              <c:f>label 1</c:f>
              <c:strCache>
                <c:ptCount val="1"/>
                <c:pt idx="0">
                  <c:v>Γυναίκες</c:v>
                </c:pt>
              </c:strCache>
            </c:strRef>
          </c:tx>
          <c:spPr>
            <a:solidFill>
              <a:srgbClr val="ff420e"/>
            </a:solidFill>
            <a:ln w="9000">
              <a:solidFill>
                <a:srgbClr val="000000"/>
              </a:solidFill>
              <a:round/>
            </a:ln>
          </c:spPr>
          <c:invertIfNegative val="0"/>
          <c:dLbls>
            <c:numFmt formatCode="General" sourceLinked="1"/>
            <c:dLblPos val="ctr"/>
            <c:showLegendKey val="0"/>
            <c:showVal val="0"/>
            <c:showCatName val="0"/>
            <c:showSerName val="0"/>
            <c:showPercent val="0"/>
            <c:showLeaderLines val="0"/>
          </c:dLbls>
          <c:cat>
            <c:strRef>
              <c:f>categories</c:f>
              <c:strCache>
                <c:ptCount val="18"/>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 και άνω</c:v>
                </c:pt>
              </c:strCache>
            </c:strRef>
          </c:cat>
          <c:val>
            <c:numRef>
              <c:f>1</c:f>
              <c:numCache>
                <c:formatCode>General</c:formatCode>
                <c:ptCount val="18"/>
                <c:pt idx="0">
                  <c:v>0.0311420851112664</c:v>
                </c:pt>
                <c:pt idx="1">
                  <c:v>0.0262699398024016</c:v>
                </c:pt>
                <c:pt idx="2">
                  <c:v>0.029441529039864</c:v>
                </c:pt>
                <c:pt idx="3">
                  <c:v>0.029441529039864</c:v>
                </c:pt>
                <c:pt idx="4">
                  <c:v>0.0311420851112664</c:v>
                </c:pt>
                <c:pt idx="5">
                  <c:v>0.039123222501591</c:v>
                </c:pt>
                <c:pt idx="6">
                  <c:v>0.0437345463271119</c:v>
                </c:pt>
                <c:pt idx="7">
                  <c:v>0.0437345463271119</c:v>
                </c:pt>
                <c:pt idx="8">
                  <c:v>0.0437345463271119</c:v>
                </c:pt>
                <c:pt idx="9">
                  <c:v>0.039123222501591</c:v>
                </c:pt>
                <c:pt idx="10">
                  <c:v>0.0345118986760701</c:v>
                </c:pt>
                <c:pt idx="11">
                  <c:v>0.0262699398024016</c:v>
                </c:pt>
                <c:pt idx="12">
                  <c:v>0.0215229888055419</c:v>
                </c:pt>
                <c:pt idx="13">
                  <c:v>0.0184870267394185</c:v>
                </c:pt>
                <c:pt idx="14">
                  <c:v>0.0215229888055419</c:v>
                </c:pt>
                <c:pt idx="15">
                  <c:v>0.0184870267394185</c:v>
                </c:pt>
                <c:pt idx="16">
                  <c:v>0.0108293079884404</c:v>
                </c:pt>
                <c:pt idx="17">
                  <c:v>0.00463218954418838</c:v>
                </c:pt>
              </c:numCache>
            </c:numRef>
          </c:val>
        </c:ser>
        <c:gapWidth val="0"/>
        <c:overlap val="0"/>
        <c:axId val="18389975"/>
        <c:axId val="56551759"/>
      </c:barChart>
      <c:catAx>
        <c:axId val="18389975"/>
        <c:scaling>
          <c:orientation val="minMax"/>
        </c:scaling>
        <c:delete val="1"/>
        <c:axPos val="b"/>
        <c:numFmt formatCode="MM/DD/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56551759"/>
        <c:crosses val="autoZero"/>
        <c:auto val="1"/>
        <c:lblAlgn val="ctr"/>
        <c:lblOffset val="100"/>
      </c:catAx>
      <c:valAx>
        <c:axId val="56551759"/>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18389975"/>
        <c:crosses val="autoZero"/>
      </c:valAx>
      <c:spPr>
        <a:noFill/>
        <a:ln>
          <a:solidFill>
            <a:srgbClr val="b3b3b3"/>
          </a:solidFill>
        </a:ln>
      </c:spPr>
    </c:plotArea>
    <c:legend>
      <c:layout>
        <c:manualLayout>
          <c:xMode val="edge"/>
          <c:yMode val="edge"/>
          <c:x val="0.0383125"/>
          <c:y val="0.124"/>
          <c:w val="0.117444840302519"/>
          <c:h val="0.144238248694299"/>
        </c:manualLayout>
      </c:layout>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solidFill>
                  <a:srgbClr val="000000"/>
                </a:solidFill>
                <a:latin typeface="Arial"/>
              </a:defRPr>
            </a:pPr>
            <a:r>
              <a:rPr b="1" sz="1300" spc="-1" strike="noStrike">
                <a:solidFill>
                  <a:srgbClr val="000000"/>
                </a:solidFill>
                <a:latin typeface="Arial"/>
              </a:rPr>
              <a:t>Επίπεδο εκπαίδευσης Δήμου Παύλου Μελά 2011</a:t>
            </a:r>
          </a:p>
        </c:rich>
      </c:tx>
      <c:overlay val="0"/>
      <c:spPr>
        <a:noFill/>
        <a:ln>
          <a:noFill/>
        </a:ln>
      </c:spPr>
    </c:title>
    <c:autoTitleDeleted val="0"/>
    <c:plotArea>
      <c:barChart>
        <c:barDir val="col"/>
        <c:grouping val="clustered"/>
        <c:varyColors val="0"/>
        <c:ser>
          <c:idx val="0"/>
          <c:order val="0"/>
          <c:tx>
            <c:strRef>
              <c:f>label 0</c:f>
              <c:strCache>
                <c:ptCount val="1"/>
                <c:pt idx="0">
                  <c:v>Άνδρες %</c:v>
                </c:pt>
              </c:strCache>
            </c:strRef>
          </c:tx>
          <c:spPr>
            <a:solidFill>
              <a:srgbClr val="004586"/>
            </a:solidFill>
            <a:ln>
              <a:noFill/>
            </a:ln>
          </c:spPr>
          <c:invertIfNegative val="0"/>
          <c:dLbls>
            <c:numFmt formatCode="#,##0.0000" sourceLinked="1"/>
            <c:dLblPos val="outEnd"/>
            <c:showLegendKey val="0"/>
            <c:showVal val="0"/>
            <c:showCatName val="0"/>
            <c:showSerName val="0"/>
            <c:showPercent val="0"/>
            <c:showLeaderLines val="0"/>
          </c:dLbls>
          <c:cat>
            <c:strRef>
              <c:f>categories</c:f>
              <c:strCache>
                <c:ptCount val="15"/>
                <c:pt idx="0">
                  <c:v>Διδακτορικό</c:v>
                </c:pt>
                <c:pt idx="1">
                  <c:v>Μεταπτυχιακό</c:v>
                </c:pt>
                <c:pt idx="2">
                  <c:v>Πτυχίο Παν/μίου-Πολ/χνείου και ισότιμων σχολών</c:v>
                </c:pt>
                <c:pt idx="3">
                  <c:v>Πτυχίο ΑΤΕΙ, ΑΣΠΑΙΤΕ και ισότιμων σχολών</c:v>
                </c:pt>
                <c:pt idx="4">
                  <c:v>Πτυχίο ανώτερων επαγγελματικών σχολών</c:v>
                </c:pt>
                <c:pt idx="5">
                  <c:v>Πτυχίο μεταδευτεροβάθμιας εκπαίδευσης (ΙΕΚ, Κολέγια κλπ.)</c:v>
                </c:pt>
                <c:pt idx="6">
                  <c:v>Απολυτήριο Λυκείου (Γενικού,Εκκλησιαστικού κλπ.)</c:v>
                </c:pt>
                <c:pt idx="7">
                  <c:v>Πτυχίο Επαγγελματικού Λυκείου</c:v>
                </c:pt>
                <c:pt idx="8">
                  <c:v>Πτυχίο Επαγγελματικών Σχολών</c:v>
                </c:pt>
                <c:pt idx="9">
                  <c:v>Απολυτήριο τριτάξιου Γυμνασίου</c:v>
                </c:pt>
                <c:pt idx="10">
                  <c:v>Απολυτήριο Δημοτικού</c:v>
                </c:pt>
                <c:pt idx="11">
                  <c:v>Εγκατέλειψε το  Δημοτικό, αλλά γνωρίζει γραφή και ανάγνωση</c:v>
                </c:pt>
                <c:pt idx="12">
                  <c:v>Ολοκλήρωσε την προσχολική αγωγή</c:v>
                </c:pt>
                <c:pt idx="13">
                  <c:v>Δεν γνωρίζει γραφή και ανάγνωση</c:v>
                </c:pt>
                <c:pt idx="14">
                  <c:v>Άτομα γεννηθέντα μετά την 1/1/2005</c:v>
                </c:pt>
              </c:strCache>
            </c:strRef>
          </c:cat>
          <c:val>
            <c:numRef>
              <c:f>0</c:f>
              <c:numCache>
                <c:formatCode>General</c:formatCode>
                <c:ptCount val="15"/>
                <c:pt idx="0">
                  <c:v>0.00225648740127868</c:v>
                </c:pt>
                <c:pt idx="1">
                  <c:v>0.00584032033272128</c:v>
                </c:pt>
                <c:pt idx="2">
                  <c:v>0.0720306174368958</c:v>
                </c:pt>
                <c:pt idx="3">
                  <c:v>0.0414131805411145</c:v>
                </c:pt>
                <c:pt idx="4">
                  <c:v>0.00584032033272128</c:v>
                </c:pt>
                <c:pt idx="5">
                  <c:v>0.0414131805411145</c:v>
                </c:pt>
                <c:pt idx="6">
                  <c:v>0.200230073225228</c:v>
                </c:pt>
                <c:pt idx="7">
                  <c:v>0.0720306174368958</c:v>
                </c:pt>
                <c:pt idx="8">
                  <c:v>0.0414131805411145</c:v>
                </c:pt>
                <c:pt idx="9">
                  <c:v>0.137866955733027</c:v>
                </c:pt>
                <c:pt idx="10">
                  <c:v>0.200230073225228</c:v>
                </c:pt>
                <c:pt idx="11">
                  <c:v>0.0143353317257704</c:v>
                </c:pt>
                <c:pt idx="12">
                  <c:v>0.0720306174368958</c:v>
                </c:pt>
                <c:pt idx="13">
                  <c:v>0.00584032033272128</c:v>
                </c:pt>
                <c:pt idx="14">
                  <c:v>0.0872287237572728</c:v>
                </c:pt>
              </c:numCache>
            </c:numRef>
          </c:val>
        </c:ser>
        <c:ser>
          <c:idx val="1"/>
          <c:order val="1"/>
          <c:tx>
            <c:strRef>
              <c:f>label 1</c:f>
              <c:strCache>
                <c:ptCount val="1"/>
                <c:pt idx="0">
                  <c:v>Γυναίκες %</c:v>
                </c:pt>
              </c:strCache>
            </c:strRef>
          </c:tx>
          <c:spPr>
            <a:solidFill>
              <a:srgbClr val="ff420e"/>
            </a:solidFill>
            <a:ln>
              <a:noFill/>
            </a:ln>
          </c:spPr>
          <c:invertIfNegative val="0"/>
          <c:dLbls>
            <c:numFmt formatCode="#,##0.0000" sourceLinked="1"/>
            <c:dLblPos val="outEnd"/>
            <c:showLegendKey val="0"/>
            <c:showVal val="0"/>
            <c:showCatName val="0"/>
            <c:showSerName val="0"/>
            <c:showPercent val="0"/>
            <c:showLeaderLines val="0"/>
          </c:dLbls>
          <c:cat>
            <c:strRef>
              <c:f>categories</c:f>
              <c:strCache>
                <c:ptCount val="15"/>
                <c:pt idx="0">
                  <c:v>Διδακτορικό</c:v>
                </c:pt>
                <c:pt idx="1">
                  <c:v>Μεταπτυχιακό</c:v>
                </c:pt>
                <c:pt idx="2">
                  <c:v>Πτυχίο Παν/μίου-Πολ/χνείου και ισότιμων σχολών</c:v>
                </c:pt>
                <c:pt idx="3">
                  <c:v>Πτυχίο ΑΤΕΙ, ΑΣΠΑΙΤΕ και ισότιμων σχολών</c:v>
                </c:pt>
                <c:pt idx="4">
                  <c:v>Πτυχίο ανώτερων επαγγελματικών σχολών</c:v>
                </c:pt>
                <c:pt idx="5">
                  <c:v>Πτυχίο μεταδευτεροβάθμιας εκπαίδευσης (ΙΕΚ, Κολέγια κλπ.)</c:v>
                </c:pt>
                <c:pt idx="6">
                  <c:v>Απολυτήριο Λυκείου (Γενικού,Εκκλησιαστικού κλπ.)</c:v>
                </c:pt>
                <c:pt idx="7">
                  <c:v>Πτυχίο Επαγγελματικού Λυκείου</c:v>
                </c:pt>
                <c:pt idx="8">
                  <c:v>Πτυχίο Επαγγελματικών Σχολών</c:v>
                </c:pt>
                <c:pt idx="9">
                  <c:v>Απολυτήριο τριτάξιου Γυμνασίου</c:v>
                </c:pt>
                <c:pt idx="10">
                  <c:v>Απολυτήριο Δημοτικού</c:v>
                </c:pt>
                <c:pt idx="11">
                  <c:v>Εγκατέλειψε το  Δημοτικό, αλλά γνωρίζει γραφή και ανάγνωση</c:v>
                </c:pt>
                <c:pt idx="12">
                  <c:v>Ολοκλήρωσε την προσχολική αγωγή</c:v>
                </c:pt>
                <c:pt idx="13">
                  <c:v>Δεν γνωρίζει γραφή και ανάγνωση</c:v>
                </c:pt>
                <c:pt idx="14">
                  <c:v>Άτομα γεννηθέντα μετά την 1/1/2005</c:v>
                </c:pt>
              </c:strCache>
            </c:strRef>
          </c:cat>
          <c:val>
            <c:numRef>
              <c:f>1</c:f>
              <c:numCache>
                <c:formatCode>General</c:formatCode>
                <c:ptCount val="15"/>
                <c:pt idx="0">
                  <c:v>0.000374190228957646</c:v>
                </c:pt>
                <c:pt idx="1">
                  <c:v>0.00617413877780117</c:v>
                </c:pt>
                <c:pt idx="2">
                  <c:v>0.09221450454875</c:v>
                </c:pt>
                <c:pt idx="3">
                  <c:v>0.0437802567880446</c:v>
                </c:pt>
                <c:pt idx="4">
                  <c:v>0.002385462709605</c:v>
                </c:pt>
                <c:pt idx="5">
                  <c:v>0.0437802567880446</c:v>
                </c:pt>
                <c:pt idx="6">
                  <c:v>0.211674735143479</c:v>
                </c:pt>
                <c:pt idx="7">
                  <c:v>0.0437802567880446</c:v>
                </c:pt>
                <c:pt idx="8">
                  <c:v>0.0151547042727847</c:v>
                </c:pt>
                <c:pt idx="9">
                  <c:v>0.117776374564419</c:v>
                </c:pt>
                <c:pt idx="10">
                  <c:v>0.211674735143479</c:v>
                </c:pt>
                <c:pt idx="11">
                  <c:v>0.0437802567880446</c:v>
                </c:pt>
                <c:pt idx="12">
                  <c:v>0.076147711592881</c:v>
                </c:pt>
                <c:pt idx="13">
                  <c:v>0.0151547042727847</c:v>
                </c:pt>
                <c:pt idx="14">
                  <c:v>0.076147711592881</c:v>
                </c:pt>
              </c:numCache>
            </c:numRef>
          </c:val>
        </c:ser>
        <c:gapWidth val="100"/>
        <c:overlap val="0"/>
        <c:axId val="68891676"/>
        <c:axId val="49349593"/>
      </c:barChart>
      <c:catAx>
        <c:axId val="68891676"/>
        <c:scaling>
          <c:orientation val="minMax"/>
        </c:scaling>
        <c:delete val="0"/>
        <c:axPos val="b"/>
        <c:title>
          <c:tx>
            <c:rich>
              <a:bodyPr rot="0"/>
              <a:lstStyle/>
              <a:p>
                <a:pPr>
                  <a:defRPr b="1" sz="1100" spc="-1" strike="noStrike">
                    <a:solidFill>
                      <a:srgbClr val="000000"/>
                    </a:solidFill>
                    <a:latin typeface="Arial"/>
                  </a:defRPr>
                </a:pPr>
                <a:r>
                  <a:rPr b="1" sz="1100" spc="-1" strike="noStrike">
                    <a:solidFill>
                      <a:srgbClr val="000000"/>
                    </a:solidFill>
                    <a:latin typeface="Arial"/>
                  </a:rPr>
                  <a:t>Τίτλος</a:t>
                </a:r>
              </a:p>
            </c:rich>
          </c:tx>
          <c:overlay val="0"/>
          <c:spPr>
            <a:noFill/>
            <a:ln>
              <a:noFill/>
            </a:ln>
          </c:spPr>
        </c:title>
        <c:numFmt formatCode="MM/DD/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49349593"/>
        <c:crosses val="autoZero"/>
        <c:auto val="1"/>
        <c:lblAlgn val="ctr"/>
        <c:lblOffset val="100"/>
      </c:catAx>
      <c:valAx>
        <c:axId val="49349593"/>
        <c:scaling>
          <c:orientation val="minMax"/>
        </c:scaling>
        <c:delete val="0"/>
        <c:axPos val="l"/>
        <c:majorGridlines>
          <c:spPr>
            <a:ln>
              <a:solidFill>
                <a:srgbClr val="b3b3b3"/>
              </a:solidFill>
            </a:ln>
          </c:spPr>
        </c:majorGridlines>
        <c:numFmt formatCode="#,##0.00"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68891676"/>
        <c:crossesAt val="1"/>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solidFill>
                  <a:srgbClr val="000000"/>
                </a:solidFill>
                <a:latin typeface="Arial"/>
              </a:defRPr>
            </a:pPr>
            <a:r>
              <a:rPr b="1" sz="1300" spc="-1" strike="noStrike">
                <a:solidFill>
                  <a:srgbClr val="000000"/>
                </a:solidFill>
                <a:latin typeface="Arial"/>
              </a:rPr>
              <a:t>Τομείς παραγωγής Δήμου Παύλου Μελά 2011 για άτομα 15-34 ετών</a:t>
            </a:r>
          </a:p>
        </c:rich>
      </c:tx>
      <c:overlay val="0"/>
      <c:spPr>
        <a:noFill/>
        <a:ln>
          <a:noFill/>
        </a:ln>
      </c:spPr>
    </c:title>
    <c:autoTitleDeleted val="0"/>
    <c:view3D>
      <c:rotX val="30"/>
      <c:rotY val="0"/>
      <c:rAngAx val="0"/>
      <c:perspective val="10"/>
    </c:view3D>
    <c:floor>
      <c:spPr>
        <a:solidFill>
          <a:srgbClr val="d9d9d9"/>
        </a:solidFill>
        <a:ln>
          <a:noFill/>
        </a:ln>
      </c:spPr>
    </c:floor>
    <c:sideWall>
      <c:spPr>
        <a:solidFill>
          <a:srgbClr val="d9d9d9"/>
        </a:solidFill>
        <a:ln>
          <a:noFill/>
        </a:ln>
      </c:spPr>
    </c:sideWall>
    <c:backWall>
      <c:spPr>
        <a:solidFill>
          <a:srgbClr val="d9d9d9"/>
        </a:solidFill>
        <a:ln>
          <a:noFill/>
        </a:ln>
      </c:spPr>
    </c:backWall>
    <c:plotArea>
      <c:pie3DChart>
        <c:varyColors val="1"/>
        <c:ser>
          <c:idx val="0"/>
          <c:order val="0"/>
          <c:tx>
            <c:strRef>
              <c:f>label 0</c:f>
              <c:strCache>
                <c:ptCount val="1"/>
                <c:pt idx="0">
                  <c:v>15-34 (άτομα στην ύστερη εφηβεία και νέοι ενήλικες)</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numFmt formatCode="0.00%" sourceLinked="1"/>
            <c:dLbl>
              <c:idx val="0"/>
              <c:dLblPos val="outEnd"/>
              <c:showLegendKey val="0"/>
              <c:showVal val="0"/>
              <c:showCatName val="0"/>
              <c:showSerName val="0"/>
              <c:showPercent val="1"/>
            </c:dLbl>
            <c:dLbl>
              <c:idx val="1"/>
              <c:dLblPos val="outEnd"/>
              <c:showLegendKey val="0"/>
              <c:showVal val="0"/>
              <c:showCatName val="0"/>
              <c:showSerName val="0"/>
              <c:showPercent val="1"/>
            </c:dLbl>
            <c:dLbl>
              <c:idx val="2"/>
              <c:dLblPos val="outEnd"/>
              <c:showLegendKey val="0"/>
              <c:showVal val="0"/>
              <c:showCatName val="0"/>
              <c:showSerName val="0"/>
              <c:showPercent val="1"/>
            </c:dLbl>
            <c:dLblPos val="outEnd"/>
            <c:showLegendKey val="0"/>
            <c:showVal val="0"/>
            <c:showCatName val="0"/>
            <c:showSerName val="0"/>
            <c:showPercent val="1"/>
            <c:showLeaderLines val="0"/>
          </c:dLbls>
          <c:cat>
            <c:strRef>
              <c:f>categories</c:f>
              <c:strCache>
                <c:ptCount val="3"/>
                <c:pt idx="0">
                  <c:v>Πρωτογενής</c:v>
                </c:pt>
                <c:pt idx="1">
                  <c:v>Δευτερογενής</c:v>
                </c:pt>
                <c:pt idx="2">
                  <c:v>Τριτογενής</c:v>
                </c:pt>
              </c:strCache>
            </c:strRef>
          </c:cat>
          <c:val>
            <c:numRef>
              <c:f>0</c:f>
              <c:numCache>
                <c:formatCode>General</c:formatCode>
                <c:ptCount val="3"/>
                <c:pt idx="0">
                  <c:v>0.00602603246022819</c:v>
                </c:pt>
                <c:pt idx="1">
                  <c:v>0.227944721195565</c:v>
                </c:pt>
                <c:pt idx="2">
                  <c:v>0.766029246344207</c:v>
                </c:pt>
              </c:numCache>
            </c:numRef>
          </c:val>
        </c:ser>
      </c:pie3DChart>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solidFill>
                  <a:srgbClr val="000000"/>
                </a:solidFill>
                <a:latin typeface="Arial"/>
              </a:defRPr>
            </a:pPr>
            <a:r>
              <a:rPr b="1" sz="1300" spc="-1" strike="noStrike">
                <a:solidFill>
                  <a:srgbClr val="000000"/>
                </a:solidFill>
                <a:latin typeface="Arial"/>
              </a:rPr>
              <a:t>Τομείς παραγωγής Δήμου Παύλου Μελά 2011 για άτομα 35-64 ετών</a:t>
            </a:r>
          </a:p>
        </c:rich>
      </c:tx>
      <c:overlay val="0"/>
      <c:spPr>
        <a:noFill/>
        <a:ln>
          <a:noFill/>
        </a:ln>
      </c:spPr>
    </c:title>
    <c:autoTitleDeleted val="0"/>
    <c:view3D>
      <c:rotX val="30"/>
      <c:rotY val="0"/>
      <c:rAngAx val="0"/>
      <c:perspective val="10"/>
    </c:view3D>
    <c:floor>
      <c:spPr>
        <a:solidFill>
          <a:srgbClr val="d9d9d9"/>
        </a:solidFill>
        <a:ln>
          <a:noFill/>
        </a:ln>
      </c:spPr>
    </c:floor>
    <c:sideWall>
      <c:spPr>
        <a:solidFill>
          <a:srgbClr val="d9d9d9"/>
        </a:solidFill>
        <a:ln>
          <a:noFill/>
        </a:ln>
      </c:spPr>
    </c:sideWall>
    <c:backWall>
      <c:spPr>
        <a:solidFill>
          <a:srgbClr val="d9d9d9"/>
        </a:solidFill>
        <a:ln>
          <a:noFill/>
        </a:ln>
      </c:spPr>
    </c:backWall>
    <c:plotArea>
      <c:pie3DChart>
        <c:varyColors val="1"/>
        <c:ser>
          <c:idx val="0"/>
          <c:order val="0"/>
          <c:tx>
            <c:strRef>
              <c:f>label 0</c:f>
              <c:strCache>
                <c:ptCount val="1"/>
                <c:pt idx="0">
                  <c:v>35-64 (άτομα στη μέση ηλικία)</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numFmt formatCode="0.00%" sourceLinked="1"/>
            <c:dLbl>
              <c:idx val="0"/>
              <c:dLblPos val="outEnd"/>
              <c:showLegendKey val="0"/>
              <c:showVal val="0"/>
              <c:showCatName val="0"/>
              <c:showSerName val="0"/>
              <c:showPercent val="1"/>
            </c:dLbl>
            <c:dLbl>
              <c:idx val="1"/>
              <c:dLblPos val="outEnd"/>
              <c:showLegendKey val="0"/>
              <c:showVal val="0"/>
              <c:showCatName val="0"/>
              <c:showSerName val="0"/>
              <c:showPercent val="1"/>
            </c:dLbl>
            <c:dLbl>
              <c:idx val="2"/>
              <c:dLblPos val="outEnd"/>
              <c:showLegendKey val="0"/>
              <c:showVal val="0"/>
              <c:showCatName val="0"/>
              <c:showSerName val="0"/>
              <c:showPercent val="1"/>
            </c:dLbl>
            <c:dLblPos val="outEnd"/>
            <c:showLegendKey val="0"/>
            <c:showVal val="0"/>
            <c:showCatName val="0"/>
            <c:showSerName val="0"/>
            <c:showPercent val="1"/>
            <c:showLeaderLines val="0"/>
          </c:dLbls>
          <c:cat>
            <c:strRef>
              <c:f>categories</c:f>
              <c:strCache>
                <c:ptCount val="3"/>
                <c:pt idx="0">
                  <c:v>Πρωτογενής</c:v>
                </c:pt>
                <c:pt idx="1">
                  <c:v>Δευτερογενής</c:v>
                </c:pt>
                <c:pt idx="2">
                  <c:v>Τριτογενής</c:v>
                </c:pt>
              </c:strCache>
            </c:strRef>
          </c:cat>
          <c:val>
            <c:numRef>
              <c:f>0</c:f>
              <c:numCache>
                <c:formatCode>General</c:formatCode>
                <c:ptCount val="3"/>
                <c:pt idx="0">
                  <c:v>0.0124001962620991</c:v>
                </c:pt>
                <c:pt idx="1">
                  <c:v>0.26361568312592</c:v>
                </c:pt>
                <c:pt idx="2">
                  <c:v>0.723984120611981</c:v>
                </c:pt>
              </c:numCache>
            </c:numRef>
          </c:val>
        </c:ser>
      </c:pie3DChart>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solidFill>
                  <a:srgbClr val="000000"/>
                </a:solidFill>
                <a:latin typeface="Arial"/>
              </a:defRPr>
            </a:pPr>
            <a:r>
              <a:rPr b="1" sz="1300" spc="-1" strike="noStrike">
                <a:solidFill>
                  <a:srgbClr val="000000"/>
                </a:solidFill>
                <a:latin typeface="Arial"/>
              </a:rPr>
              <a:t>Επαγγελματική κατάσταση Δήμου Παύλου Μελά 2011 ανά ηλικιακή ομάδα</a:t>
            </a:r>
          </a:p>
        </c:rich>
      </c:tx>
      <c:overlay val="0"/>
      <c:spPr>
        <a:noFill/>
        <a:ln>
          <a:noFill/>
        </a:ln>
      </c:spPr>
    </c:title>
    <c:autoTitleDeleted val="0"/>
    <c:plotArea>
      <c:barChart>
        <c:barDir val="col"/>
        <c:grouping val="clustered"/>
        <c:varyColors val="0"/>
        <c:ser>
          <c:idx val="0"/>
          <c:order val="0"/>
          <c:tx>
            <c:strRef>
              <c:f>label 0</c:f>
              <c:strCache>
                <c:ptCount val="1"/>
                <c:pt idx="0">
                  <c:v>15-24</c:v>
                </c:pt>
              </c:strCache>
            </c:strRef>
          </c:tx>
          <c:spPr>
            <a:solidFill>
              <a:srgbClr val="004586"/>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3"/>
                <c:pt idx="0">
                  <c:v>Εργαζόμενος (-ή)</c:v>
                </c:pt>
                <c:pt idx="1">
                  <c:v>Ζητούσε εργασία</c:v>
                </c:pt>
                <c:pt idx="2">
                  <c:v>Ζητούσε εργασία για πρώτη φορά (Νέοι άνεργοι)</c:v>
                </c:pt>
              </c:strCache>
            </c:strRef>
          </c:cat>
          <c:val>
            <c:numRef>
              <c:f>0</c:f>
              <c:numCache>
                <c:formatCode>General</c:formatCode>
                <c:ptCount val="3"/>
                <c:pt idx="0">
                  <c:v>0.417777777777778</c:v>
                </c:pt>
                <c:pt idx="1">
                  <c:v>0.164444444444444</c:v>
                </c:pt>
                <c:pt idx="2">
                  <c:v>0.417777777777778</c:v>
                </c:pt>
              </c:numCache>
            </c:numRef>
          </c:val>
        </c:ser>
        <c:ser>
          <c:idx val="1"/>
          <c:order val="1"/>
          <c:tx>
            <c:strRef>
              <c:f>label 1</c:f>
              <c:strCache>
                <c:ptCount val="1"/>
                <c:pt idx="0">
                  <c:v>25-34</c:v>
                </c:pt>
              </c:strCache>
            </c:strRef>
          </c:tx>
          <c:spPr>
            <a:solidFill>
              <a:srgbClr val="ff420e"/>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3"/>
                <c:pt idx="0">
                  <c:v>Εργαζόμενος (-ή)</c:v>
                </c:pt>
                <c:pt idx="1">
                  <c:v>Ζητούσε εργασία</c:v>
                </c:pt>
                <c:pt idx="2">
                  <c:v>Ζητούσε εργασία για πρώτη φορά (Νέοι άνεργοι)</c:v>
                </c:pt>
              </c:strCache>
            </c:strRef>
          </c:cat>
          <c:val>
            <c:numRef>
              <c:f>1</c:f>
              <c:numCache>
                <c:formatCode>General</c:formatCode>
                <c:ptCount val="3"/>
                <c:pt idx="0">
                  <c:v>0.6936</c:v>
                </c:pt>
                <c:pt idx="1">
                  <c:v>0.21616</c:v>
                </c:pt>
                <c:pt idx="2">
                  <c:v>0.09024</c:v>
                </c:pt>
              </c:numCache>
            </c:numRef>
          </c:val>
        </c:ser>
        <c:ser>
          <c:idx val="2"/>
          <c:order val="2"/>
          <c:tx>
            <c:strRef>
              <c:f>label 2</c:f>
              <c:strCache>
                <c:ptCount val="1"/>
                <c:pt idx="0">
                  <c:v>35-44</c:v>
                </c:pt>
              </c:strCache>
            </c:strRef>
          </c:tx>
          <c:spPr>
            <a:solidFill>
              <a:srgbClr val="ffd320"/>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3"/>
                <c:pt idx="0">
                  <c:v>Εργαζόμενος (-ή)</c:v>
                </c:pt>
                <c:pt idx="1">
                  <c:v>Ζητούσε εργασία</c:v>
                </c:pt>
                <c:pt idx="2">
                  <c:v>Ζητούσε εργασία για πρώτη φορά (Νέοι άνεργοι)</c:v>
                </c:pt>
              </c:strCache>
            </c:strRef>
          </c:cat>
          <c:val>
            <c:numRef>
              <c:f>2</c:f>
              <c:numCache>
                <c:formatCode>General</c:formatCode>
                <c:ptCount val="3"/>
                <c:pt idx="0">
                  <c:v>0.77755402370072</c:v>
                </c:pt>
                <c:pt idx="1">
                  <c:v>0.209278909457052</c:v>
                </c:pt>
                <c:pt idx="2">
                  <c:v>0.0131670668422276</c:v>
                </c:pt>
              </c:numCache>
            </c:numRef>
          </c:val>
        </c:ser>
        <c:ser>
          <c:idx val="3"/>
          <c:order val="3"/>
          <c:tx>
            <c:strRef>
              <c:f>label 3</c:f>
              <c:strCache>
                <c:ptCount val="1"/>
                <c:pt idx="0">
                  <c:v>45-54</c:v>
                </c:pt>
              </c:strCache>
            </c:strRef>
          </c:tx>
          <c:spPr>
            <a:solidFill>
              <a:srgbClr val="579d1c"/>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3"/>
                <c:pt idx="0">
                  <c:v>Εργαζόμενος (-ή)</c:v>
                </c:pt>
                <c:pt idx="1">
                  <c:v>Ζητούσε εργασία</c:v>
                </c:pt>
                <c:pt idx="2">
                  <c:v>Ζητούσε εργασία για πρώτη φορά (Νέοι άνεργοι)</c:v>
                </c:pt>
              </c:strCache>
            </c:strRef>
          </c:cat>
          <c:val>
            <c:numRef>
              <c:f>3</c:f>
              <c:numCache>
                <c:formatCode>General</c:formatCode>
                <c:ptCount val="3"/>
                <c:pt idx="0">
                  <c:v>0.776098347440548</c:v>
                </c:pt>
                <c:pt idx="1">
                  <c:v>0.20677146311971</c:v>
                </c:pt>
                <c:pt idx="2">
                  <c:v>0.017130189439742</c:v>
                </c:pt>
              </c:numCache>
            </c:numRef>
          </c:val>
        </c:ser>
        <c:ser>
          <c:idx val="4"/>
          <c:order val="4"/>
          <c:tx>
            <c:strRef>
              <c:f>label 4</c:f>
              <c:strCache>
                <c:ptCount val="1"/>
                <c:pt idx="0">
                  <c:v>55-64</c:v>
                </c:pt>
              </c:strCache>
            </c:strRef>
          </c:tx>
          <c:spPr>
            <a:solidFill>
              <a:srgbClr val="7e002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3"/>
                <c:pt idx="0">
                  <c:v>Εργαζόμενος (-ή)</c:v>
                </c:pt>
                <c:pt idx="1">
                  <c:v>Ζητούσε εργασία</c:v>
                </c:pt>
                <c:pt idx="2">
                  <c:v>Ζητούσε εργασία για πρώτη φορά (Νέοι άνεργοι)</c:v>
                </c:pt>
              </c:strCache>
            </c:strRef>
          </c:cat>
          <c:val>
            <c:numRef>
              <c:f>4</c:f>
              <c:numCache>
                <c:formatCode>General</c:formatCode>
                <c:ptCount val="3"/>
                <c:pt idx="0">
                  <c:v>0.703645833333333</c:v>
                </c:pt>
                <c:pt idx="1">
                  <c:v>0.29375</c:v>
                </c:pt>
                <c:pt idx="2">
                  <c:v>0.00260416666666667</c:v>
                </c:pt>
              </c:numCache>
            </c:numRef>
          </c:val>
        </c:ser>
        <c:ser>
          <c:idx val="5"/>
          <c:order val="5"/>
          <c:spPr>
            <a:noFill/>
            <a:ln>
              <a:noFill/>
            </a:ln>
          </c:spPr>
          <c:invertIfNegative val="0"/>
          <c:cat>
            <c:strRef>
              <c:f>categories</c:f>
              <c:strCache>
                <c:ptCount val="3"/>
                <c:pt idx="0">
                  <c:v>Εργαζόμενος (-ή)</c:v>
                </c:pt>
                <c:pt idx="1">
                  <c:v>Ζητούσε εργασία</c:v>
                </c:pt>
                <c:pt idx="2">
                  <c:v>Ζητούσε εργασία για πρώτη φορά (Νέοι άνεργοι)</c:v>
                </c:pt>
              </c:strCache>
            </c:strRef>
          </c:cat>
        </c:ser>
        <c:gapWidth val="100"/>
        <c:overlap val="0"/>
        <c:axId val="63188083"/>
        <c:axId val="6400254"/>
      </c:barChart>
      <c:catAx>
        <c:axId val="63188083"/>
        <c:scaling>
          <c:orientation val="minMax"/>
        </c:scaling>
        <c:delete val="0"/>
        <c:axPos val="b"/>
        <c:numFmt formatCode="MM/DD/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6400254"/>
        <c:crosses val="autoZero"/>
        <c:auto val="1"/>
        <c:lblAlgn val="ctr"/>
        <c:lblOffset val="100"/>
      </c:catAx>
      <c:valAx>
        <c:axId val="6400254"/>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63188083"/>
        <c:crosses val="autoZero"/>
      </c:valAx>
      <c:spPr>
        <a:noFill/>
        <a:ln>
          <a:solidFill>
            <a:srgbClr val="b3b3b3"/>
          </a:solidFill>
        </a:ln>
      </c:spPr>
    </c:plotArea>
    <c:legend>
      <c:layout>
        <c:manualLayout>
          <c:xMode val="edge"/>
          <c:yMode val="edge"/>
          <c:x val="0.8135625"/>
          <c:y val="0.153555555555556"/>
          <c:w val="0.0758172385774111"/>
          <c:h val="0.193799311034559"/>
        </c:manualLayout>
      </c:layout>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Normal.dotm</Template>
  <TotalTime>202</TotalTime>
  <Application>LibreOffice/6.0.7.3$Linux_X86_64 LibreOffice_project/00m0$Build-3</Application>
  <Pages>9</Pages>
  <Words>1348</Words>
  <Characters>7743</Characters>
  <CharactersWithSpaces>9051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2020-03-08T22:35:00Z</dcterms:created>
  <dc:creator/>
  <dc:description/>
  <dc:language>en-US</dc:language>
  <cp:lastModifiedBy/>
  <dcterms:modified xsi:type="dcterms:W3CDTF">2020-03-22T04:08:15Z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