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仿宋_GB2312"/>
          <w:sz w:val="24"/>
        </w:rPr>
        <w:t>这段用仿宋_GB2312，本机未安装该字体。</w:t>
      </w:r>
    </w:p>
    <w:p>
      <w:r>
        <w:rPr>
          <w:rFonts w:ascii="Times New Roman" w:hAnsi="Times New Roman" w:eastAsia="楷体"/>
          <w:sz w:val="24"/>
        </w:rPr>
        <w:t>这段用楷体，本机已安装。</w:t>
      </w:r>
    </w:p>
    <w:p>
      <w:r>
        <w:rPr>
          <w:rFonts w:ascii="Times New Roman" w:hAnsi="Times New Roman" w:eastAsia="仿宋_GB2312"/>
          <w:sz w:val="24"/>
        </w:rPr>
        <w:t>这段又用仿宋_GB2312，制造正文字体不一致。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