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color w:val="158e88"/>
          <w:sz w:val="36"/>
          <w:szCs w:val="36"/>
        </w:rPr>
      </w:pPr>
      <w:r w:rsidDel="00000000" w:rsidR="00000000" w:rsidRPr="00000000">
        <w:rPr>
          <w:rFonts w:ascii="Lato" w:cs="Lato" w:eastAsia="Lato" w:hAnsi="Lato"/>
          <w:b w:val="1"/>
          <w:color w:val="158e88"/>
          <w:sz w:val="36"/>
          <w:szCs w:val="36"/>
          <w:rtl w:val="0"/>
        </w:rPr>
        <w:t xml:space="preserve">Empathy Guide</w:t>
      </w:r>
    </w:p>
    <w:p w:rsidR="00000000" w:rsidDel="00000000" w:rsidP="00000000" w:rsidRDefault="00000000" w:rsidRPr="00000000" w14:paraId="00000002">
      <w:pPr>
        <w:jc w:val="center"/>
        <w:rPr>
          <w:rFonts w:ascii="Lato" w:cs="Lato" w:eastAsia="Lato" w:hAnsi="Lato"/>
          <w:b w:val="1"/>
          <w:color w:val="158e88"/>
          <w:sz w:val="36"/>
          <w:szCs w:val="36"/>
        </w:rPr>
      </w:pP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Fonts w:ascii="Lato" w:cs="Lato" w:eastAsia="Lato" w:hAnsi="Lato"/>
          <w:rtl w:val="0"/>
        </w:rPr>
        <w:t xml:space="preserve">This step is focused on students understanding the communities they interview and ensuring that they do not enter these communities with any preconceptions. You should encourage students to enter their interview with an open mind and no pre-existing ideas, and allow the community to dictate what they build.</w:t>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p w:rsidR="00000000" w:rsidDel="00000000" w:rsidP="00000000" w:rsidRDefault="00000000" w:rsidRPr="00000000" w14:paraId="00000006">
    <w:pPr>
      <w:rPr/>
    </w:pPr>
    <w:r w:rsidDel="00000000" w:rsidR="00000000" w:rsidRPr="00000000">
      <w:rPr>
        <w:rFonts w:ascii="Lato" w:cs="Lato" w:eastAsia="Lato" w:hAnsi="Lato"/>
        <w:color w:val="158e88"/>
        <w:rtl w:val="0"/>
      </w:rPr>
      <w:t xml:space="preserve">CS+Social Good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