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b w:val="1"/>
          <w:color w:val="158e88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36"/>
          <w:szCs w:val="36"/>
          <w:rtl w:val="0"/>
        </w:rPr>
        <w:t xml:space="preserve">Define Guide</w:t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b w:val="1"/>
          <w:color w:val="158e8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After students interview their communities, they must use the information they learned to define a clear problem that the community faces. You should emphasize the specificity of the problems that students must generate, and ensure the students select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problem.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Possible Activity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Split students into groups and allow them to discuss possible problem statements and narrow it down to one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43600" cy="3810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38100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