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06841" w14:textId="77777777" w:rsidR="009B417A" w:rsidRDefault="00000000">
      <w:pPr>
        <w:pStyle w:val="Ttulo"/>
      </w:pPr>
      <w:r>
        <w:t>Análisis de la relación de la biodiversidad del fitoplancton y la productividad primaria en la ensenada de Panamá en dos meses del año 2023.</w:t>
      </w:r>
    </w:p>
    <w:p w14:paraId="09906842" w14:textId="77777777" w:rsidR="009B417A" w:rsidRDefault="00000000" w:rsidP="00B35A16">
      <w:pPr>
        <w:spacing w:after="0"/>
        <w:jc w:val="center"/>
      </w:pPr>
      <w:r>
        <w:t>Centro de Investigaciones Oceanográficas e Hidrográficas del Pacífico</w:t>
      </w:r>
    </w:p>
    <w:p w14:paraId="09906843" w14:textId="77777777" w:rsidR="009B417A" w:rsidRDefault="00000000" w:rsidP="00B35A16">
      <w:pPr>
        <w:spacing w:after="0"/>
        <w:jc w:val="center"/>
      </w:pPr>
      <w:r>
        <w:t>Dirección General Marítima</w:t>
      </w:r>
    </w:p>
    <w:p w14:paraId="09906844" w14:textId="77777777" w:rsidR="009B417A" w:rsidRDefault="00000000" w:rsidP="00B35A16">
      <w:pPr>
        <w:spacing w:after="0"/>
        <w:jc w:val="center"/>
      </w:pPr>
      <w:r>
        <w:t>Diplomado cuatificación de carbono en ambientes oceánicos</w:t>
      </w:r>
    </w:p>
    <w:p w14:paraId="09906845" w14:textId="77777777" w:rsidR="009B417A" w:rsidRDefault="00000000" w:rsidP="00B35A16">
      <w:pPr>
        <w:spacing w:after="0"/>
        <w:jc w:val="center"/>
      </w:pPr>
      <w:r>
        <w:t>Propuesta del problema de investigación</w:t>
      </w:r>
    </w:p>
    <w:p w14:paraId="09906846" w14:textId="77777777" w:rsidR="009B417A" w:rsidRDefault="00000000" w:rsidP="00B35A16">
      <w:pPr>
        <w:spacing w:after="0"/>
        <w:jc w:val="center"/>
      </w:pPr>
      <w:r>
        <w:t>Humberto Quintana Manotas</w:t>
      </w:r>
    </w:p>
    <w:p w14:paraId="09906847" w14:textId="77777777" w:rsidR="009B417A" w:rsidRDefault="00000000" w:rsidP="00B35A16">
      <w:pPr>
        <w:spacing w:after="0"/>
        <w:jc w:val="center"/>
      </w:pPr>
      <w:r>
        <w:t>Fredy Albeiro Castrillón</w:t>
      </w:r>
    </w:p>
    <w:p w14:paraId="09906848" w14:textId="77777777" w:rsidR="009B417A" w:rsidRDefault="00000000">
      <w:pPr>
        <w:pStyle w:val="Ttulo1"/>
      </w:pPr>
      <w:bookmarkStart w:id="0" w:name="objetivo-general"/>
      <w:r>
        <w:t>Objetivo general</w:t>
      </w:r>
    </w:p>
    <w:p w14:paraId="09906849" w14:textId="77777777" w:rsidR="009B417A" w:rsidRDefault="00000000">
      <w:r>
        <w:t xml:space="preserve">Establecer si existe una relación entre la biodiversidad del fitoplancton y la productividad primaria (carbono y clorofila </w:t>
      </w:r>
      <w:r>
        <w:rPr>
          <w:i/>
          <w:iCs/>
        </w:rPr>
        <w:t>a</w:t>
      </w:r>
      <w:r>
        <w:t>) en la superficie de la ensenada de Panamá en los meses de octubre y noviembre del 2023.</w:t>
      </w:r>
    </w:p>
    <w:p w14:paraId="0990684A" w14:textId="77777777" w:rsidR="009B417A" w:rsidRDefault="00000000">
      <w:pPr>
        <w:pStyle w:val="Ttulo1"/>
      </w:pPr>
      <w:bookmarkStart w:id="1" w:name="planteamiento-del-problema"/>
      <w:bookmarkEnd w:id="0"/>
      <w:r>
        <w:t>Planteamiento del problema</w:t>
      </w:r>
    </w:p>
    <w:p w14:paraId="0990684B" w14:textId="77777777" w:rsidR="009B417A" w:rsidRDefault="00000000">
      <w:r>
        <w:t>El fitoplancton desempeña un papel fundamental en la captura de carbono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en los océanos y la liberación de oxígeno (</w:t>
      </w:r>
      <m:oMath>
        <m:sSub>
          <m:sSubPr>
            <m:ctrlPr>
              <w:rPr>
                <w:rFonts w:ascii="Cambria Math" w:hAnsi="Cambria Math"/>
              </w:rPr>
            </m:ctrlPr>
          </m:sSubPr>
          <m:e>
            <m:r>
              <w:rPr>
                <w:rFonts w:ascii="Cambria Math" w:hAnsi="Cambria Math"/>
              </w:rPr>
              <m:t>O</m:t>
            </m:r>
          </m:e>
          <m:sub>
            <m:r>
              <w:rPr>
                <w:rFonts w:ascii="Cambria Math" w:hAnsi="Cambria Math"/>
              </w:rPr>
              <m:t>2</m:t>
            </m:r>
          </m:sub>
        </m:sSub>
      </m:oMath>
      <w:r>
        <w:t>) a la atmósfera (Righetti et al. 2019). Como productores primarios, constituyen la base de los ecosistemas marinos, facilitando el flujo de energía a lo largo de la red trófica y promoviendo el transporte de materia orgánica hacia las profundidades oceánicas mediante su hundimiento (Guidi et al. 2016). Debido a su importancia, numerosos estudios han abordado la relación entre la productividad primaria y la diversidad de especies en estas comunidades (Cardinale, Bennett, et al. 2009; Goebel et al. 2013; Righetti et al. 2019).</w:t>
      </w:r>
    </w:p>
    <w:p w14:paraId="0990684C" w14:textId="77777777" w:rsidR="009B417A" w:rsidRDefault="00000000">
      <w:r>
        <w:t xml:space="preserve">Existen al menos tres hipótesis sobre la relación entre la diversidad y la productividad (Cardinale, Hillebrand, et al. 2009). La hipótesis </w:t>
      </w:r>
      <w:r>
        <w:rPr>
          <w:i/>
          <w:iCs/>
        </w:rPr>
        <w:t>Especies-Energía</w:t>
      </w:r>
      <w:r>
        <w:t xml:space="preserve"> (</w:t>
      </w:r>
      <w:r>
        <w:rPr>
          <w:i/>
          <w:iCs/>
        </w:rPr>
        <w:t>species energy theory - SET</w:t>
      </w:r>
      <w:r>
        <w:t xml:space="preserve">) propone que “la suma de todos los recursos influencia la riqueza de las especies por medio del control de los tamaños poblacionales y la estocasticidad de la extinción” (Cardinale, Hillebrand, et al. 2009; Wright 1983), la hipótesis de </w:t>
      </w:r>
      <w:r>
        <w:rPr>
          <w:i/>
          <w:iCs/>
        </w:rPr>
        <w:t>Tasa de recurso</w:t>
      </w:r>
      <w:r>
        <w:t xml:space="preserve"> (</w:t>
      </w:r>
      <w:r>
        <w:rPr>
          <w:i/>
          <w:iCs/>
        </w:rPr>
        <w:t>resource ratio theory</w:t>
      </w:r>
      <w:r>
        <w:t>) propone que el “desbalance entre uno de dos recursos permite que la mayoría de las especies no sean capaces de competir, por lo tanto cuando existen estos desbalances la riqueza es mínima, presentando una relación unimodal (</w:t>
      </w:r>
      <w:r>
        <w:rPr>
          <w:i/>
          <w:iCs/>
        </w:rPr>
        <w:t>concave-down function</w:t>
      </w:r>
      <w:r>
        <w:t xml:space="preserve">)” (Cardinale, Hillebrand, et al. 2009). La hipótesis del </w:t>
      </w:r>
      <w:r>
        <w:rPr>
          <w:i/>
          <w:iCs/>
        </w:rPr>
        <w:t>Funcionamiento del Ecosistema-Biodiversidad</w:t>
      </w:r>
      <w:r>
        <w:t xml:space="preserve"> (</w:t>
      </w:r>
      <w:r>
        <w:rPr>
          <w:i/>
          <w:iCs/>
        </w:rPr>
        <w:t>Biodiversity ecosystem functioning</w:t>
      </w:r>
      <w:r>
        <w:t>), la diversidad de las especies actua como una variable independiente que controla la disponibilidad de los recursos y cómo estos serán utilizados para la productividad (Cardinale, Hillebrand, et al. 2009).</w:t>
      </w:r>
    </w:p>
    <w:p w14:paraId="0990684D" w14:textId="77777777" w:rsidR="009B417A" w:rsidRDefault="00000000">
      <w:r>
        <w:t xml:space="preserve">Aunque existe un consenso general que sugiere un aumento de la productividad con la diversidad — dado que las comunidades más diversas incluyen taxones de alta productividad (Cardinale, Bennett, et al. 2009) — la relación entre estos dos factores sigue siendo objeto de debate, sin conclusiones definitivas. Una de las dificultades que se ha encontrado para tener claridad sobre lo que se está relacionando es el uso sin distinciones de los conceptos </w:t>
      </w:r>
      <w:r>
        <w:rPr>
          <w:i/>
          <w:iCs/>
        </w:rPr>
        <w:t>diversidad</w:t>
      </w:r>
      <w:r>
        <w:t xml:space="preserve"> y </w:t>
      </w:r>
      <w:r>
        <w:rPr>
          <w:i/>
          <w:iCs/>
        </w:rPr>
        <w:t>productividad</w:t>
      </w:r>
      <w:r>
        <w:t xml:space="preserve"> (Cardinale, Bennett, et al. 2009), muchos trabajos (Rousseaux and </w:t>
      </w:r>
      <w:r>
        <w:lastRenderedPageBreak/>
        <w:t>Gregg 2012; Goebel et al. 2013; Li et al. 2010; Napoléon et al. 2014) han usado la riqueza como una de las medidas de diversidad, sin embargo no se han explorado otras medidas que representan de una manera más adecuada todas las dimensiones de la diversidad a nivel de la comunidades (</w:t>
      </w:r>
      <w:r>
        <w:rPr>
          <w:i/>
          <w:iCs/>
        </w:rPr>
        <w:t>e.g</w:t>
      </w:r>
      <w:r>
        <w:t xml:space="preserve"> Jost (2006)).</w:t>
      </w:r>
    </w:p>
    <w:p w14:paraId="0990684E" w14:textId="77777777" w:rsidR="009B417A" w:rsidRDefault="00000000">
      <w:r>
        <w:t>Por lo anterior, en este trabajo se pretende examinar y describir cual es el tipo de relación que hay entre la productividad primaria, representada como la biomasa de diferentes grupos del fitoplancton (</w:t>
      </w:r>
      <w:r>
        <w:rPr>
          <w:i/>
          <w:iCs/>
        </w:rPr>
        <w:t>e.g.</w:t>
      </w:r>
      <w:r>
        <w:t xml:space="preserve"> diatomeas y dinoflagelados) y la biodiversidad calculada con los números de Hill que representan la “</w:t>
      </w:r>
      <w:r>
        <w:rPr>
          <w:i/>
          <w:iCs/>
        </w:rPr>
        <w:t>diversidad verdadera</w:t>
      </w:r>
      <w:r>
        <w:t>” (Chao, Chiu, and Jost 2014; Jost 2010), tomando como fuente de datos las muestras obtenidas en el crucero oceanográfico CPC - 63 y los datos de sensores remotos para los meses de octubre y noviembre del año 2023.</w:t>
      </w:r>
    </w:p>
    <w:p w14:paraId="0990684F" w14:textId="77777777" w:rsidR="009B417A" w:rsidRDefault="00000000">
      <w:pPr>
        <w:pStyle w:val="Ttulo1"/>
      </w:pPr>
      <w:bookmarkStart w:id="2" w:name="metodología"/>
      <w:bookmarkEnd w:id="1"/>
      <w:r>
        <w:t>Metodología</w:t>
      </w:r>
    </w:p>
    <w:p w14:paraId="09906850" w14:textId="77777777" w:rsidR="009B417A" w:rsidRDefault="00000000">
      <w:pPr>
        <w:pStyle w:val="Ttulo2"/>
      </w:pPr>
      <w:bookmarkStart w:id="3" w:name="área-de-estudio"/>
      <w:r>
        <w:t>Área de estudio</w:t>
      </w:r>
    </w:p>
    <w:p w14:paraId="09906851" w14:textId="77777777" w:rsidR="009B417A" w:rsidRDefault="00000000">
      <w:r>
        <w:t>La cuenca del Pacífico colombiano abarca un área de aproximadamente 339.100 km2 y está ubicada entre el paralelo 1°N en los límites con Ecuador y 7° N en los límites con Panamá. Esta cuenca se encuentra dentro de la provincia del Pacífico Oriental Tropical en la ecorregión de la Ensenada de Panamá (Costello et al. 2017; Spalding et al. 2007). La zona donde se tomaron las muestras biológicas del crucero CPC-63 entre octubre y noviembre del 2023, corresponde a la zona económica exclusiva de Colombia (Figura 1).</w:t>
      </w:r>
    </w:p>
    <w:p w14:paraId="09906852" w14:textId="77777777" w:rsidR="009B417A" w:rsidRDefault="00000000">
      <w:r>
        <w:rPr>
          <w:noProof/>
        </w:rPr>
        <w:drawing>
          <wp:inline distT="0" distB="0" distL="0" distR="0" wp14:anchorId="09906877" wp14:editId="09906878">
            <wp:extent cx="5727700" cy="3533051"/>
            <wp:effectExtent l="0" t="0" r="0" b="0"/>
            <wp:docPr id="23" name="Picture" descr="Figure 1: Estaciones de muestreo del crucero CPC-63 del año 2023."/>
            <wp:cNvGraphicFramePr/>
            <a:graphic xmlns:a="http://schemas.openxmlformats.org/drawingml/2006/main">
              <a:graphicData uri="http://schemas.openxmlformats.org/drawingml/2006/picture">
                <pic:pic xmlns:pic="http://schemas.openxmlformats.org/drawingml/2006/picture">
                  <pic:nvPicPr>
                    <pic:cNvPr id="24" name="Picture" descr="Mapa_CPC.png"/>
                    <pic:cNvPicPr>
                      <a:picLocks noChangeAspect="1" noChangeArrowheads="1"/>
                    </pic:cNvPicPr>
                  </pic:nvPicPr>
                  <pic:blipFill>
                    <a:blip r:embed="rId7"/>
                    <a:stretch>
                      <a:fillRect/>
                    </a:stretch>
                  </pic:blipFill>
                  <pic:spPr bwMode="auto">
                    <a:xfrm>
                      <a:off x="0" y="0"/>
                      <a:ext cx="5727700" cy="3533051"/>
                    </a:xfrm>
                    <a:prstGeom prst="rect">
                      <a:avLst/>
                    </a:prstGeom>
                    <a:noFill/>
                    <a:ln w="9525">
                      <a:noFill/>
                      <a:headEnd/>
                      <a:tailEnd/>
                    </a:ln>
                  </pic:spPr>
                </pic:pic>
              </a:graphicData>
            </a:graphic>
          </wp:inline>
        </w:drawing>
      </w:r>
    </w:p>
    <w:p w14:paraId="09906853" w14:textId="77777777" w:rsidR="009B417A" w:rsidRDefault="00000000">
      <w:bookmarkStart w:id="4" w:name="fig:unnamed-chunk-1"/>
      <w:bookmarkEnd w:id="4"/>
      <w:r>
        <w:t>Figure 1: Estaciones de muestreo del crucero CPC-63 del año 2023.</w:t>
      </w:r>
    </w:p>
    <w:p w14:paraId="09906854" w14:textId="77777777" w:rsidR="009B417A" w:rsidRDefault="00000000">
      <w:pPr>
        <w:pStyle w:val="Ttulo2"/>
      </w:pPr>
      <w:bookmarkStart w:id="5" w:name="fase-de-campo"/>
      <w:bookmarkEnd w:id="3"/>
      <w:r>
        <w:t>Fase de campo</w:t>
      </w:r>
    </w:p>
    <w:p w14:paraId="09906855" w14:textId="77777777" w:rsidR="009B417A" w:rsidRDefault="00000000">
      <w:r>
        <w:t xml:space="preserve">Las muestras de fitoplancton se tomaron con botella Niskin de 10 litros de capacidad dentro de un carrusel muestreador SeaBird SBE 32 en las profundidades de 0, 20, 50 y 100 metros de profundidad, pero solo la muestra superficial va a ser tenida en cuenta para este trabajo. Una vez en cubierta el carrusel, se tomaron 1000 ml de agua en una botella de plástico ambar y se </w:t>
      </w:r>
      <w:r>
        <w:lastRenderedPageBreak/>
        <w:t>fijaron con Lugol.</w:t>
      </w:r>
    </w:p>
    <w:p w14:paraId="09906856" w14:textId="77777777" w:rsidR="009B417A" w:rsidRDefault="00000000">
      <w:pPr>
        <w:pStyle w:val="Ttulo2"/>
      </w:pPr>
      <w:bookmarkStart w:id="6" w:name="X673213086d3bbbb49d3a5b6a4872211c89f2345"/>
      <w:bookmarkEnd w:id="5"/>
      <w:r>
        <w:t>Recuento celular y determinación taxonómica</w:t>
      </w:r>
    </w:p>
    <w:p w14:paraId="09906857" w14:textId="77777777" w:rsidR="009B417A" w:rsidRDefault="00000000">
      <w:r>
        <w:t>El recuento de las células fue realizado siguiendo el método de sedimentación por cámara Utermöhl (Utermöhl 1958), estas muestras fueron sedimentadas por un periodo de tiempo de 48 horas utilizando un cilindro de 100 mL de volumen. La observación de las muestras se realizó utilizando un microscopio invertido Leica DMi1 a magnificación de 100x, para observar las células con mayor detalle e utilizarón 400x y 1000x cuando era necesario. Se identificaron las especies utilizando claves taxonómicas y descripciones de (Balech 1988; Omura et al. 2012). Además, se verificó el estado taxonómico de las especies, autores y sinonimia mediante la base de datos Algaebase (Guiry et al. 2014).</w:t>
      </w:r>
    </w:p>
    <w:p w14:paraId="09906858" w14:textId="77777777" w:rsidR="009B417A" w:rsidRDefault="00000000">
      <w:pPr>
        <w:pStyle w:val="Ttulo2"/>
      </w:pPr>
      <w:bookmarkStart w:id="7" w:name="análisis-de-datos"/>
      <w:bookmarkEnd w:id="6"/>
      <w:r>
        <w:t>Análisis de datos</w:t>
      </w:r>
    </w:p>
    <w:p w14:paraId="09906859" w14:textId="77777777" w:rsidR="009B417A" w:rsidRDefault="00000000">
      <w:pPr>
        <w:pStyle w:val="Ttulo3"/>
      </w:pPr>
      <w:bookmarkStart w:id="8" w:name="fuentes-de-datos"/>
      <w:r>
        <w:t>Fuentes de datos</w:t>
      </w:r>
    </w:p>
    <w:p w14:paraId="0990685A" w14:textId="77777777" w:rsidR="009B417A" w:rsidRDefault="00000000">
      <w:pPr>
        <w:pStyle w:val="Ttulo4"/>
      </w:pPr>
      <w:bookmarkStart w:id="9" w:name="diversidad."/>
      <w:r>
        <w:t>Diversidad.</w:t>
      </w:r>
    </w:p>
    <w:p w14:paraId="0990685B" w14:textId="77777777" w:rsidR="009B417A" w:rsidRDefault="00000000">
      <w:r>
        <w:t>Para los análisis de diversidad del fitoplancton se usarán los números de Hill calculados para cada una de las estaciones, estos se calcularon con el paquete “</w:t>
      </w:r>
      <w:r>
        <w:rPr>
          <w:i/>
          <w:iCs/>
        </w:rPr>
        <w:t>vegan</w:t>
      </w:r>
      <w:r>
        <w:t xml:space="preserve">” de R (Dixon 2003). La fórmula para calcular el número de Hill incluye un parámetro </w:t>
      </w:r>
      <m:oMath>
        <m:r>
          <w:rPr>
            <w:rFonts w:ascii="Cambria Math" w:hAnsi="Cambria Math"/>
          </w:rPr>
          <m:t>q</m:t>
        </m:r>
      </m:oMath>
      <w:r>
        <w:t xml:space="preserve">, que determina la sensibilidad del cálculo a la presencia de especies raras. Un valor alto de </w:t>
      </w:r>
      <m:oMath>
        <m:r>
          <w:rPr>
            <w:rFonts w:ascii="Cambria Math" w:hAnsi="Cambria Math"/>
          </w:rPr>
          <m:t>q</m:t>
        </m:r>
      </m:oMath>
      <w:r>
        <w:t xml:space="preserve"> da más peso a las especies comunes, mientras que un valor bajo de q da más peso a las especies raras</w:t>
      </w:r>
    </w:p>
    <w:p w14:paraId="0990685C" w14:textId="77777777" w:rsidR="009B417A" w:rsidRDefault="00000000">
      <w:pPr>
        <w:numPr>
          <w:ilvl w:val="0"/>
          <w:numId w:val="2"/>
        </w:numPr>
      </w:pPr>
      <w:r>
        <w:t>Número de Hill de orden cero (</w:t>
      </w:r>
      <m:oMath>
        <m:r>
          <w:rPr>
            <w:rFonts w:ascii="Cambria Math" w:hAnsi="Cambria Math"/>
          </w:rPr>
          <m:t>q</m:t>
        </m:r>
        <m:r>
          <m:rPr>
            <m:sty m:val="p"/>
          </m:rPr>
          <w:rPr>
            <w:rFonts w:ascii="Cambria Math" w:hAnsi="Cambria Math"/>
          </w:rPr>
          <m:t>=</m:t>
        </m:r>
        <m:r>
          <w:rPr>
            <w:rFonts w:ascii="Cambria Math" w:hAnsi="Cambria Math"/>
          </w:rPr>
          <m:t>0</m:t>
        </m:r>
      </m:oMath>
      <w:r>
        <w:t>): Es la riqueza de especies, es decir, el número total de especies presentes en una muestra o comunidad. La diversidad de orden cero (</w:t>
      </w:r>
      <m:oMath>
        <m:r>
          <w:rPr>
            <w:rFonts w:ascii="Cambria Math" w:hAnsi="Cambria Math"/>
          </w:rPr>
          <m:t>q</m:t>
        </m:r>
        <m:r>
          <m:rPr>
            <m:sty m:val="p"/>
          </m:rPr>
          <w:rPr>
            <w:rFonts w:ascii="Cambria Math" w:hAnsi="Cambria Math"/>
          </w:rPr>
          <m:t>/</m:t>
        </m:r>
        <m:r>
          <w:rPr>
            <w:rFonts w:ascii="Cambria Math" w:hAnsi="Cambria Math"/>
          </w:rPr>
          <m:t>0</m:t>
        </m:r>
      </m:oMath>
      <w:r>
        <w:t>) es completamente insensible a las frecuencias de especies y es más conocida como riqueza de especies (Jost 2006).</w:t>
      </w:r>
    </w:p>
    <w:p w14:paraId="0990685D" w14:textId="77777777" w:rsidR="009B417A" w:rsidRDefault="00000000">
      <w:pPr>
        <w:numPr>
          <w:ilvl w:val="0"/>
          <w:numId w:val="2"/>
        </w:numPr>
      </w:pPr>
      <w:r>
        <w:t>Número de Hill de primer orden (</w:t>
      </w:r>
      <m:oMath>
        <m:r>
          <w:rPr>
            <w:rFonts w:ascii="Cambria Math" w:hAnsi="Cambria Math"/>
          </w:rPr>
          <m:t>q</m:t>
        </m:r>
        <m:r>
          <m:rPr>
            <m:sty m:val="p"/>
          </m:rPr>
          <w:rPr>
            <w:rFonts w:ascii="Cambria Math" w:hAnsi="Cambria Math"/>
          </w:rPr>
          <m:t>=</m:t>
        </m:r>
        <m:r>
          <w:rPr>
            <w:rFonts w:ascii="Cambria Math" w:hAnsi="Cambria Math"/>
          </w:rPr>
          <m:t>1</m:t>
        </m:r>
      </m:oMath>
      <w:r>
        <w:t xml:space="preserve">): Es la exponencial de la entropía de </w:t>
      </w:r>
      <w:r>
        <w:rPr>
          <w:i/>
          <w:iCs/>
        </w:rPr>
        <w:t>Shannon</w:t>
      </w:r>
      <w:r>
        <w:t xml:space="preserve">, y se define como </w:t>
      </w:r>
      <m:oMath>
        <m:r>
          <w:rPr>
            <w:rFonts w:ascii="Cambria Math" w:hAnsi="Cambria Math"/>
          </w:rPr>
          <m:t>exp</m:t>
        </m:r>
        <m:d>
          <m:dPr>
            <m:ctrlPr>
              <w:rPr>
                <w:rFonts w:ascii="Cambria Math" w:hAnsi="Cambria Math"/>
              </w:rPr>
            </m:ctrlPr>
          </m:dPr>
          <m:e>
            <m:r>
              <w:rPr>
                <w:rFonts w:ascii="Cambria Math" w:hAnsi="Cambria Math"/>
              </w:rPr>
              <m:t>H</m:t>
            </m:r>
          </m:e>
        </m:d>
      </m:oMath>
      <w:r>
        <w:t xml:space="preserve">, donde </w:t>
      </w:r>
      <m:oMath>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oMath>
      <w:r>
        <w:t xml:space="preserve">) 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es la proporción de individuos de la </w:t>
      </w:r>
      <m:oMath>
        <m:r>
          <w:rPr>
            <w:rFonts w:ascii="Cambria Math" w:hAnsi="Cambria Math"/>
          </w:rPr>
          <m:t>i</m:t>
        </m:r>
      </m:oMath>
      <w:r>
        <w:t>-ésima especie. El número de Hill de primer orden se interpreta como el número efectivo de especies en una comunidad y se utiliza para tener en cuenta tanto la riqueza como la equitatividad de la comunidad. Este índice es sensible a las especies con abundancias medias (Jost 2006).</w:t>
      </w:r>
    </w:p>
    <w:p w14:paraId="0990685E" w14:textId="77777777" w:rsidR="009B417A" w:rsidRDefault="00000000">
      <w:pPr>
        <w:numPr>
          <w:ilvl w:val="0"/>
          <w:numId w:val="2"/>
        </w:numPr>
      </w:pPr>
      <w:r>
        <w:t>Número de Hill de segundo orden (</w:t>
      </w:r>
      <m:oMath>
        <m:r>
          <w:rPr>
            <w:rFonts w:ascii="Cambria Math" w:hAnsi="Cambria Math"/>
          </w:rPr>
          <m:t>q</m:t>
        </m:r>
        <m:r>
          <m:rPr>
            <m:sty m:val="p"/>
          </m:rPr>
          <w:rPr>
            <w:rFonts w:ascii="Cambria Math" w:hAnsi="Cambria Math"/>
          </w:rPr>
          <m:t>=</m:t>
        </m:r>
        <m:r>
          <w:rPr>
            <w:rFonts w:ascii="Cambria Math" w:hAnsi="Cambria Math"/>
          </w:rPr>
          <m:t>2</m:t>
        </m:r>
      </m:oMath>
      <w:r>
        <w:t xml:space="preserve">): Es la inversa de la suma ponderada de las proporciones de las especies elevadas a la segunda potencia, es decir, </w:t>
      </w:r>
      <m:oMath>
        <m:r>
          <w:rPr>
            <w:rFonts w:ascii="Cambria Math" w:hAnsi="Cambria Math"/>
          </w:rPr>
          <m:t>1</m:t>
        </m:r>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2</m:t>
                </m:r>
              </m:sup>
            </m:sSubSup>
          </m:e>
        </m:d>
      </m:oMath>
      <w:r>
        <w:t>. Este número de Hill se interpreta como la diversidad de orden superior y es más sensible a las especies comunes (Jost 2006).</w:t>
      </w:r>
    </w:p>
    <w:p w14:paraId="0990685F" w14:textId="77777777" w:rsidR="009B417A" w:rsidRDefault="00000000">
      <w:pPr>
        <w:pStyle w:val="Ttulo4"/>
      </w:pPr>
      <w:bookmarkStart w:id="10" w:name="productividad."/>
      <w:bookmarkEnd w:id="9"/>
      <w:r>
        <w:t>Productividad.</w:t>
      </w:r>
    </w:p>
    <w:p w14:paraId="09906860" w14:textId="77777777" w:rsidR="009B417A" w:rsidRDefault="00000000">
      <w:r>
        <w:t xml:space="preserve">Los datos de productividad se obtendrán del portal </w:t>
      </w:r>
      <w:r>
        <w:rPr>
          <w:i/>
          <w:iCs/>
        </w:rPr>
        <w:t>Copernicus Marine Service</w:t>
      </w:r>
      <w:r>
        <w:t xml:space="preserve"> que ofrece datos de modelos numéricos, observaciones </w:t>
      </w:r>
      <w:r>
        <w:rPr>
          <w:i/>
          <w:iCs/>
        </w:rPr>
        <w:t>in-situ</w:t>
      </w:r>
      <w:r>
        <w:t xml:space="preserve"> y datos satelitáles. El conjunto de datos seleccionado para evaluar la relación entre la diversidad y la productividad será del </w:t>
      </w:r>
      <w:r>
        <w:rPr>
          <w:i/>
          <w:iCs/>
        </w:rPr>
        <w:t>Global Ocean Colour (Copernicus-GlobColour), Bio-Geo-Chemical, from Satellite Observations (Near Real Time)</w:t>
      </w:r>
      <w:r>
        <w:t xml:space="preserve"> (</w:t>
      </w:r>
      <w:r>
        <w:rPr>
          <w:i/>
          <w:iCs/>
        </w:rPr>
        <w:t xml:space="preserve">product ID: </w:t>
      </w:r>
      <w:hyperlink r:id="rId8">
        <w:r>
          <w:rPr>
            <w:i/>
            <w:iCs/>
          </w:rPr>
          <w:t>OCEANCOLOUR_GLO_BGC_L4_NRT_009_102</w:t>
        </w:r>
      </w:hyperlink>
      <w:r>
        <w:t xml:space="preserve">), de este conjunto de datos se obtendrán la concentración de clorofila </w:t>
      </w:r>
      <w:r>
        <w:rPr>
          <w:i/>
          <w:iCs/>
        </w:rPr>
        <w:t>a</w:t>
      </w:r>
      <w:r>
        <w:t xml:space="preserve"> total, la concentración de clorofila </w:t>
      </w:r>
      <w:r>
        <w:rPr>
          <w:i/>
          <w:iCs/>
        </w:rPr>
        <w:t>a</w:t>
      </w:r>
      <w:r>
        <w:t xml:space="preserve"> aportada por las diatomeas, la concentración de clorofila </w:t>
      </w:r>
      <w:r>
        <w:rPr>
          <w:i/>
          <w:iCs/>
        </w:rPr>
        <w:t>a</w:t>
      </w:r>
      <w:r>
        <w:t xml:space="preserve"> aportada por los dinoflagelados y la productividad primaria expresada como carbono.</w:t>
      </w:r>
    </w:p>
    <w:p w14:paraId="1958AACE" w14:textId="77777777" w:rsidR="00B35A16" w:rsidRDefault="00B35A16"/>
    <w:p w14:paraId="09906861" w14:textId="77777777" w:rsidR="009B417A" w:rsidRDefault="00000000">
      <w:pPr>
        <w:pStyle w:val="Ttulo3"/>
      </w:pPr>
      <w:bookmarkStart w:id="11" w:name="análisis-relacionales"/>
      <w:bookmarkEnd w:id="8"/>
      <w:bookmarkEnd w:id="10"/>
      <w:r>
        <w:lastRenderedPageBreak/>
        <w:t>Análisis relacionales</w:t>
      </w:r>
    </w:p>
    <w:p w14:paraId="09906862" w14:textId="77777777" w:rsidR="009B417A" w:rsidRDefault="00000000">
      <w:r>
        <w:t xml:space="preserve">Una vez obtenidos los datos de ambas fuentes, se procederá a evaluar la relación estadística entre la diversidad total del ensamblaje del fitoplancton con la concentración de clorofila </w:t>
      </w:r>
      <w:r>
        <w:rPr>
          <w:i/>
          <w:iCs/>
        </w:rPr>
        <w:t>a</w:t>
      </w:r>
      <w:r>
        <w:t xml:space="preserve"> total y la productividad primaria expresada como carbono. También se evaluaran las relaciones entre la diversidad de la diatomeas con la concentración de clorofila </w:t>
      </w:r>
      <w:r>
        <w:rPr>
          <w:i/>
          <w:iCs/>
        </w:rPr>
        <w:t>a</w:t>
      </w:r>
      <w:r>
        <w:t xml:space="preserve"> aportada por las diatomeas y la diversidad de los dinoflagelados con la concentración de clorofila </w:t>
      </w:r>
      <w:r>
        <w:rPr>
          <w:i/>
          <w:iCs/>
        </w:rPr>
        <w:t>a</w:t>
      </w:r>
      <w:r>
        <w:t xml:space="preserve"> aportada por los dinoflagelados.</w:t>
      </w:r>
    </w:p>
    <w:p w14:paraId="09906863" w14:textId="77777777" w:rsidR="009B417A" w:rsidRDefault="00000000">
      <w:pPr>
        <w:pStyle w:val="Ttulo1"/>
      </w:pPr>
      <w:bookmarkStart w:id="12" w:name="literatura-citada"/>
      <w:bookmarkEnd w:id="2"/>
      <w:bookmarkEnd w:id="7"/>
      <w:bookmarkEnd w:id="11"/>
      <w:r>
        <w:t>Literatura citada</w:t>
      </w:r>
    </w:p>
    <w:p w14:paraId="09906864" w14:textId="77777777" w:rsidR="009B417A" w:rsidRPr="00B35A16" w:rsidRDefault="00000000">
      <w:pPr>
        <w:rPr>
          <w:lang w:val="en-US"/>
        </w:rPr>
      </w:pPr>
      <w:bookmarkStart w:id="13" w:name="ref-balech1988dinoflagelados"/>
      <w:bookmarkStart w:id="14" w:name="refs"/>
      <w:r>
        <w:t xml:space="preserve">Balech, Enrique. 1988. “Los dinoflagelados del Atlántico sudoccidental.” </w:t>
      </w:r>
      <w:r w:rsidRPr="00B35A16">
        <w:rPr>
          <w:i/>
          <w:iCs/>
          <w:lang w:val="en-US"/>
        </w:rPr>
        <w:t xml:space="preserve">Publ. Espec. Inst. Esp. </w:t>
      </w:r>
      <w:proofErr w:type="spellStart"/>
      <w:r w:rsidRPr="00B35A16">
        <w:rPr>
          <w:i/>
          <w:iCs/>
          <w:lang w:val="en-US"/>
        </w:rPr>
        <w:t>Oceanogr</w:t>
      </w:r>
      <w:proofErr w:type="spellEnd"/>
      <w:r w:rsidRPr="00B35A16">
        <w:rPr>
          <w:i/>
          <w:iCs/>
          <w:lang w:val="en-US"/>
        </w:rPr>
        <w:t>.</w:t>
      </w:r>
      <w:r w:rsidRPr="00B35A16">
        <w:rPr>
          <w:lang w:val="en-US"/>
        </w:rPr>
        <w:t xml:space="preserve"> 1: 1–310.</w:t>
      </w:r>
    </w:p>
    <w:p w14:paraId="09906865" w14:textId="77777777" w:rsidR="009B417A" w:rsidRPr="00B35A16" w:rsidRDefault="00000000">
      <w:pPr>
        <w:rPr>
          <w:lang w:val="en-US"/>
        </w:rPr>
      </w:pPr>
      <w:bookmarkStart w:id="15" w:name="ref-cardinale2009does"/>
      <w:bookmarkEnd w:id="13"/>
      <w:r w:rsidRPr="00B35A16">
        <w:rPr>
          <w:lang w:val="en-US"/>
        </w:rPr>
        <w:t xml:space="preserve">Cardinale, Bradley J, Danuta M Bennett, Craig E Nelson, and Kevin Gross. 2009. “Does Productivity Drive Diversity or Vice Versa? A Test of the Multivariate Productivity–Diversity Hypothesis in Streams.” </w:t>
      </w:r>
      <w:r w:rsidRPr="00B35A16">
        <w:rPr>
          <w:i/>
          <w:iCs/>
          <w:lang w:val="en-US"/>
        </w:rPr>
        <w:t>Ecology</w:t>
      </w:r>
      <w:r w:rsidRPr="00B35A16">
        <w:rPr>
          <w:lang w:val="en-US"/>
        </w:rPr>
        <w:t xml:space="preserve"> 90 (5): 1227–41.</w:t>
      </w:r>
    </w:p>
    <w:p w14:paraId="09906866" w14:textId="77777777" w:rsidR="009B417A" w:rsidRPr="00B35A16" w:rsidRDefault="00000000">
      <w:pPr>
        <w:rPr>
          <w:lang w:val="en-US"/>
        </w:rPr>
      </w:pPr>
      <w:bookmarkStart w:id="16" w:name="ref-cardinale2009separating"/>
      <w:bookmarkEnd w:id="15"/>
      <w:r w:rsidRPr="00B35A16">
        <w:rPr>
          <w:lang w:val="en-US"/>
        </w:rPr>
        <w:t xml:space="preserve">Cardinale, Bradley J, Helmut Hillebrand, WS Harpole, Kevin Gross, and Robert </w:t>
      </w:r>
      <w:proofErr w:type="spellStart"/>
      <w:r w:rsidRPr="00B35A16">
        <w:rPr>
          <w:lang w:val="en-US"/>
        </w:rPr>
        <w:t>Ptacnik</w:t>
      </w:r>
      <w:proofErr w:type="spellEnd"/>
      <w:r w:rsidRPr="00B35A16">
        <w:rPr>
          <w:lang w:val="en-US"/>
        </w:rPr>
        <w:t xml:space="preserve">. 2009. “Separating the Influence of Resource ‘Availability’ from Resource ‘Imbalance’ on Productivity–Diversity Relationships.” </w:t>
      </w:r>
      <w:r w:rsidRPr="00B35A16">
        <w:rPr>
          <w:i/>
          <w:iCs/>
          <w:lang w:val="en-US"/>
        </w:rPr>
        <w:t>Ecology Letters</w:t>
      </w:r>
      <w:r w:rsidRPr="00B35A16">
        <w:rPr>
          <w:lang w:val="en-US"/>
        </w:rPr>
        <w:t xml:space="preserve"> 12 (6): 475–87.</w:t>
      </w:r>
    </w:p>
    <w:p w14:paraId="09906867" w14:textId="77777777" w:rsidR="009B417A" w:rsidRPr="00B35A16" w:rsidRDefault="00000000">
      <w:pPr>
        <w:rPr>
          <w:lang w:val="en-US"/>
        </w:rPr>
      </w:pPr>
      <w:bookmarkStart w:id="17" w:name="ref-chao2014unifying"/>
      <w:bookmarkEnd w:id="16"/>
      <w:r w:rsidRPr="00B35A16">
        <w:rPr>
          <w:lang w:val="en-US"/>
        </w:rPr>
        <w:t xml:space="preserve">Chao, Anne, Chun-Huo Chiu, and Lou Jost. 2014. “Unifying Species Diversity, Phylogenetic Diversity, Functional Diversity, and Related Similarity and Differentiation Measures Through Hill Numbers.” </w:t>
      </w:r>
      <w:r w:rsidRPr="00B35A16">
        <w:rPr>
          <w:i/>
          <w:iCs/>
          <w:lang w:val="en-US"/>
        </w:rPr>
        <w:t>Annual Review of Ecology, Evolution, and Systematics</w:t>
      </w:r>
      <w:r w:rsidRPr="00B35A16">
        <w:rPr>
          <w:lang w:val="en-US"/>
        </w:rPr>
        <w:t xml:space="preserve"> 45 (1): 297–324.</w:t>
      </w:r>
    </w:p>
    <w:p w14:paraId="09906868" w14:textId="77777777" w:rsidR="009B417A" w:rsidRPr="00B35A16" w:rsidRDefault="00000000">
      <w:pPr>
        <w:rPr>
          <w:lang w:val="en-US"/>
        </w:rPr>
      </w:pPr>
      <w:bookmarkStart w:id="18" w:name="ref-costello2017marine"/>
      <w:bookmarkEnd w:id="17"/>
      <w:r w:rsidRPr="00B35A16">
        <w:rPr>
          <w:lang w:val="en-US"/>
        </w:rPr>
        <w:t xml:space="preserve">Costello, Mark J, Peter Tsai, </w:t>
      </w:r>
      <w:proofErr w:type="spellStart"/>
      <w:r w:rsidRPr="00B35A16">
        <w:rPr>
          <w:lang w:val="en-US"/>
        </w:rPr>
        <w:t>Pui</w:t>
      </w:r>
      <w:proofErr w:type="spellEnd"/>
      <w:r w:rsidRPr="00B35A16">
        <w:rPr>
          <w:lang w:val="en-US"/>
        </w:rPr>
        <w:t xml:space="preserve"> Shan Wong, Alan Kwok Lun Cheung, </w:t>
      </w:r>
      <w:proofErr w:type="spellStart"/>
      <w:r w:rsidRPr="00B35A16">
        <w:rPr>
          <w:lang w:val="en-US"/>
        </w:rPr>
        <w:t>Zeenatul</w:t>
      </w:r>
      <w:proofErr w:type="spellEnd"/>
      <w:r w:rsidRPr="00B35A16">
        <w:rPr>
          <w:lang w:val="en-US"/>
        </w:rPr>
        <w:t xml:space="preserve"> Basher, and Chhaya Chaudhary. 2017. “Marine Biogeographic Realms and Species Endemicity.” </w:t>
      </w:r>
      <w:r w:rsidRPr="00B35A16">
        <w:rPr>
          <w:i/>
          <w:iCs/>
          <w:lang w:val="en-US"/>
        </w:rPr>
        <w:t>Nature Communications</w:t>
      </w:r>
      <w:r w:rsidRPr="00B35A16">
        <w:rPr>
          <w:lang w:val="en-US"/>
        </w:rPr>
        <w:t xml:space="preserve"> 8 (1): 1057.</w:t>
      </w:r>
    </w:p>
    <w:p w14:paraId="09906869" w14:textId="77777777" w:rsidR="009B417A" w:rsidRPr="00B35A16" w:rsidRDefault="00000000">
      <w:pPr>
        <w:rPr>
          <w:lang w:val="en-US"/>
        </w:rPr>
      </w:pPr>
      <w:bookmarkStart w:id="19" w:name="ref-dixon2003vegan"/>
      <w:bookmarkEnd w:id="18"/>
      <w:r w:rsidRPr="00B35A16">
        <w:rPr>
          <w:lang w:val="en-US"/>
        </w:rPr>
        <w:t xml:space="preserve">Dixon, Philip. 2003. “VEGAN, a Package of r Functions for Community Ecology.” </w:t>
      </w:r>
      <w:r w:rsidRPr="00B35A16">
        <w:rPr>
          <w:i/>
          <w:iCs/>
          <w:lang w:val="en-US"/>
        </w:rPr>
        <w:t>Journal of Vegetation Science</w:t>
      </w:r>
      <w:r w:rsidRPr="00B35A16">
        <w:rPr>
          <w:lang w:val="en-US"/>
        </w:rPr>
        <w:t xml:space="preserve"> 14 (6): 927–30.</w:t>
      </w:r>
    </w:p>
    <w:p w14:paraId="0990686A" w14:textId="77777777" w:rsidR="009B417A" w:rsidRPr="00B35A16" w:rsidRDefault="00000000">
      <w:pPr>
        <w:rPr>
          <w:lang w:val="en-US"/>
        </w:rPr>
      </w:pPr>
      <w:bookmarkStart w:id="20" w:name="ref-goebel2013modeled"/>
      <w:bookmarkEnd w:id="19"/>
      <w:r w:rsidRPr="00B35A16">
        <w:rPr>
          <w:lang w:val="en-US"/>
        </w:rPr>
        <w:t xml:space="preserve">Goebel, NL, CA Edwards, JP Zehr, MJ Follows, and SG Morgan. 2013. “Modeled Phytoplankton Diversity and Productivity in the California Current System.” </w:t>
      </w:r>
      <w:r w:rsidRPr="00B35A16">
        <w:rPr>
          <w:i/>
          <w:iCs/>
          <w:lang w:val="en-US"/>
        </w:rPr>
        <w:t>Ecological Modelling</w:t>
      </w:r>
      <w:r w:rsidRPr="00B35A16">
        <w:rPr>
          <w:lang w:val="en-US"/>
        </w:rPr>
        <w:t xml:space="preserve"> 264: 37–47.</w:t>
      </w:r>
    </w:p>
    <w:p w14:paraId="0990686B" w14:textId="77777777" w:rsidR="009B417A" w:rsidRPr="00B35A16" w:rsidRDefault="00000000">
      <w:pPr>
        <w:rPr>
          <w:lang w:val="en-US"/>
        </w:rPr>
      </w:pPr>
      <w:bookmarkStart w:id="21" w:name="ref-guidi2016plankton"/>
      <w:bookmarkEnd w:id="20"/>
      <w:r w:rsidRPr="00B35A16">
        <w:rPr>
          <w:lang w:val="en-US"/>
        </w:rPr>
        <w:t xml:space="preserve">Guidi, Lionel, Samuel Chaffron, Lucie Bittner, Damien Eveillard, Abdelhalim </w:t>
      </w:r>
      <w:proofErr w:type="spellStart"/>
      <w:r w:rsidRPr="00B35A16">
        <w:rPr>
          <w:lang w:val="en-US"/>
        </w:rPr>
        <w:t>Larhlimi</w:t>
      </w:r>
      <w:proofErr w:type="spellEnd"/>
      <w:r w:rsidRPr="00B35A16">
        <w:rPr>
          <w:lang w:val="en-US"/>
        </w:rPr>
        <w:t xml:space="preserve">, Simon Roux, Youssef Darzi, et al. 2016. “Plankton Networks Driving Carbon Export in the Oligotrophic Ocean.” </w:t>
      </w:r>
      <w:r w:rsidRPr="00B35A16">
        <w:rPr>
          <w:i/>
          <w:iCs/>
          <w:lang w:val="en-US"/>
        </w:rPr>
        <w:t>Nature</w:t>
      </w:r>
      <w:r w:rsidRPr="00B35A16">
        <w:rPr>
          <w:lang w:val="en-US"/>
        </w:rPr>
        <w:t xml:space="preserve"> 532 (7600): 465–70.</w:t>
      </w:r>
    </w:p>
    <w:p w14:paraId="0990686C" w14:textId="77777777" w:rsidR="009B417A" w:rsidRPr="00B35A16" w:rsidRDefault="00000000">
      <w:pPr>
        <w:rPr>
          <w:lang w:val="en-US"/>
        </w:rPr>
      </w:pPr>
      <w:bookmarkStart w:id="22" w:name="ref-guiry2014algaebase"/>
      <w:bookmarkEnd w:id="21"/>
      <w:r w:rsidRPr="00B35A16">
        <w:rPr>
          <w:lang w:val="en-US"/>
        </w:rPr>
        <w:t>Guiry, Michael D, Gwendoline M Guiry, Liam Morrison, Fabio Rindi, Salvador Valenzuela Miranda, Arthur C Mathieson, Bruce C Parker, et al. 2014. “</w:t>
      </w:r>
      <w:proofErr w:type="spellStart"/>
      <w:r w:rsidRPr="00B35A16">
        <w:rPr>
          <w:lang w:val="en-US"/>
        </w:rPr>
        <w:t>AlgaeBase</w:t>
      </w:r>
      <w:proofErr w:type="spellEnd"/>
      <w:r w:rsidRPr="00B35A16">
        <w:rPr>
          <w:lang w:val="en-US"/>
        </w:rPr>
        <w:t xml:space="preserve">: An </w:t>
      </w:r>
      <w:proofErr w:type="gramStart"/>
      <w:r w:rsidRPr="00B35A16">
        <w:rPr>
          <w:lang w:val="en-US"/>
        </w:rPr>
        <w:t>on-Line</w:t>
      </w:r>
      <w:proofErr w:type="gramEnd"/>
      <w:r w:rsidRPr="00B35A16">
        <w:rPr>
          <w:lang w:val="en-US"/>
        </w:rPr>
        <w:t xml:space="preserve"> Resource for Algae.” </w:t>
      </w:r>
      <w:proofErr w:type="spellStart"/>
      <w:r w:rsidRPr="00B35A16">
        <w:rPr>
          <w:i/>
          <w:iCs/>
          <w:lang w:val="en-US"/>
        </w:rPr>
        <w:t>Cryptogamie</w:t>
      </w:r>
      <w:proofErr w:type="spellEnd"/>
      <w:r w:rsidRPr="00B35A16">
        <w:rPr>
          <w:i/>
          <w:iCs/>
          <w:lang w:val="en-US"/>
        </w:rPr>
        <w:t xml:space="preserve">, </w:t>
      </w:r>
      <w:proofErr w:type="spellStart"/>
      <w:r w:rsidRPr="00B35A16">
        <w:rPr>
          <w:i/>
          <w:iCs/>
          <w:lang w:val="en-US"/>
        </w:rPr>
        <w:t>Algologie</w:t>
      </w:r>
      <w:proofErr w:type="spellEnd"/>
      <w:r w:rsidRPr="00B35A16">
        <w:rPr>
          <w:lang w:val="en-US"/>
        </w:rPr>
        <w:t xml:space="preserve"> 35 (2): 105–15.</w:t>
      </w:r>
    </w:p>
    <w:p w14:paraId="0990686D" w14:textId="77777777" w:rsidR="009B417A" w:rsidRPr="00B35A16" w:rsidRDefault="00000000">
      <w:pPr>
        <w:rPr>
          <w:lang w:val="en-US"/>
        </w:rPr>
      </w:pPr>
      <w:bookmarkStart w:id="23" w:name="ref-jost2006entropy"/>
      <w:bookmarkEnd w:id="22"/>
      <w:r w:rsidRPr="00B35A16">
        <w:rPr>
          <w:lang w:val="en-US"/>
        </w:rPr>
        <w:t xml:space="preserve">Jost, Lou. 2006. “Entropy and Diversity.” </w:t>
      </w:r>
      <w:r w:rsidRPr="00B35A16">
        <w:rPr>
          <w:i/>
          <w:iCs/>
          <w:lang w:val="en-US"/>
        </w:rPr>
        <w:t>Oikos</w:t>
      </w:r>
      <w:r w:rsidRPr="00B35A16">
        <w:rPr>
          <w:lang w:val="en-US"/>
        </w:rPr>
        <w:t xml:space="preserve"> 113 (2): 363–75.</w:t>
      </w:r>
    </w:p>
    <w:p w14:paraId="0990686E" w14:textId="77777777" w:rsidR="009B417A" w:rsidRPr="00B35A16" w:rsidRDefault="00000000">
      <w:pPr>
        <w:rPr>
          <w:lang w:val="en-US"/>
        </w:rPr>
      </w:pPr>
      <w:bookmarkStart w:id="24" w:name="ref-jost2010relation"/>
      <w:bookmarkEnd w:id="23"/>
      <w:r w:rsidRPr="00B35A16">
        <w:rPr>
          <w:lang w:val="en-US"/>
        </w:rPr>
        <w:t xml:space="preserve">———. 2010. “The Relation Between Evenness and Diversity.” </w:t>
      </w:r>
      <w:r w:rsidRPr="00B35A16">
        <w:rPr>
          <w:i/>
          <w:iCs/>
          <w:lang w:val="en-US"/>
        </w:rPr>
        <w:t>Diversity</w:t>
      </w:r>
      <w:r w:rsidRPr="00B35A16">
        <w:rPr>
          <w:lang w:val="en-US"/>
        </w:rPr>
        <w:t xml:space="preserve"> 2 (2): 207–32.</w:t>
      </w:r>
    </w:p>
    <w:p w14:paraId="0990686F" w14:textId="77777777" w:rsidR="009B417A" w:rsidRPr="00B35A16" w:rsidRDefault="00000000">
      <w:pPr>
        <w:rPr>
          <w:lang w:val="en-US"/>
        </w:rPr>
      </w:pPr>
      <w:bookmarkStart w:id="25" w:name="ref-li2010modeling"/>
      <w:bookmarkEnd w:id="24"/>
      <w:r w:rsidRPr="00B35A16">
        <w:rPr>
          <w:lang w:val="en-US"/>
        </w:rPr>
        <w:t xml:space="preserve">Li, Qian P, Peter JS Franks, Michael R Landry, Ralf </w:t>
      </w:r>
      <w:proofErr w:type="spellStart"/>
      <w:r w:rsidRPr="00B35A16">
        <w:rPr>
          <w:lang w:val="en-US"/>
        </w:rPr>
        <w:t>Goericke</w:t>
      </w:r>
      <w:proofErr w:type="spellEnd"/>
      <w:r w:rsidRPr="00B35A16">
        <w:rPr>
          <w:lang w:val="en-US"/>
        </w:rPr>
        <w:t xml:space="preserve">, and Andrew G Taylor. 2010. “Modeling Phytoplankton Growth Rates and Chlorophyll to Carbon Ratios in California Coastal and Pelagic Ecosystems.” </w:t>
      </w:r>
      <w:r w:rsidRPr="00B35A16">
        <w:rPr>
          <w:i/>
          <w:iCs/>
          <w:lang w:val="en-US"/>
        </w:rPr>
        <w:t xml:space="preserve">Journal of Geophysical Research: </w:t>
      </w:r>
      <w:proofErr w:type="spellStart"/>
      <w:r w:rsidRPr="00B35A16">
        <w:rPr>
          <w:i/>
          <w:iCs/>
          <w:lang w:val="en-US"/>
        </w:rPr>
        <w:t>Biogeosciences</w:t>
      </w:r>
      <w:proofErr w:type="spellEnd"/>
      <w:r w:rsidRPr="00B35A16">
        <w:rPr>
          <w:lang w:val="en-US"/>
        </w:rPr>
        <w:t xml:space="preserve"> 115 (G4).</w:t>
      </w:r>
    </w:p>
    <w:p w14:paraId="09906870" w14:textId="77777777" w:rsidR="009B417A" w:rsidRPr="00B35A16" w:rsidRDefault="00000000">
      <w:pPr>
        <w:rPr>
          <w:lang w:val="en-US"/>
        </w:rPr>
      </w:pPr>
      <w:bookmarkStart w:id="26" w:name="ref-napoleon2014dynamics"/>
      <w:bookmarkEnd w:id="25"/>
      <w:r w:rsidRPr="00B35A16">
        <w:rPr>
          <w:lang w:val="en-US"/>
        </w:rPr>
        <w:t xml:space="preserve">Napoléon, Camille, Liliane Fiant, Virginie Raimbault, Philippe Riou, and Pascal </w:t>
      </w:r>
      <w:proofErr w:type="spellStart"/>
      <w:r w:rsidRPr="00B35A16">
        <w:rPr>
          <w:lang w:val="en-US"/>
        </w:rPr>
        <w:t>Claquin</w:t>
      </w:r>
      <w:proofErr w:type="spellEnd"/>
      <w:r w:rsidRPr="00B35A16">
        <w:rPr>
          <w:lang w:val="en-US"/>
        </w:rPr>
        <w:t xml:space="preserve">. 2014. “Dynamics of Phytoplankton Diversity Structure and Primary Productivity in the English Channel.” </w:t>
      </w:r>
      <w:r w:rsidRPr="00B35A16">
        <w:rPr>
          <w:i/>
          <w:iCs/>
          <w:lang w:val="en-US"/>
        </w:rPr>
        <w:t>Marine Ecology Progress Series</w:t>
      </w:r>
      <w:r w:rsidRPr="00B35A16">
        <w:rPr>
          <w:lang w:val="en-US"/>
        </w:rPr>
        <w:t xml:space="preserve"> 505: 49–64.</w:t>
      </w:r>
    </w:p>
    <w:p w14:paraId="09906871" w14:textId="77777777" w:rsidR="009B417A" w:rsidRPr="00B35A16" w:rsidRDefault="00000000">
      <w:pPr>
        <w:rPr>
          <w:lang w:val="en-US"/>
        </w:rPr>
      </w:pPr>
      <w:bookmarkStart w:id="27" w:name="ref-Omura2012marine"/>
      <w:bookmarkEnd w:id="26"/>
      <w:r w:rsidRPr="00B35A16">
        <w:rPr>
          <w:lang w:val="en-US"/>
        </w:rPr>
        <w:lastRenderedPageBreak/>
        <w:t xml:space="preserve">Omura, T., V. M. </w:t>
      </w:r>
      <w:proofErr w:type="spellStart"/>
      <w:r w:rsidRPr="00B35A16">
        <w:rPr>
          <w:lang w:val="en-US"/>
        </w:rPr>
        <w:t>Iwataki</w:t>
      </w:r>
      <w:proofErr w:type="spellEnd"/>
      <w:r w:rsidRPr="00B35A16">
        <w:rPr>
          <w:lang w:val="en-US"/>
        </w:rPr>
        <w:t xml:space="preserve"> </w:t>
      </w:r>
      <w:proofErr w:type="spellStart"/>
      <w:r w:rsidRPr="00B35A16">
        <w:rPr>
          <w:lang w:val="en-US"/>
        </w:rPr>
        <w:t>M.and</w:t>
      </w:r>
      <w:proofErr w:type="spellEnd"/>
      <w:r w:rsidRPr="00B35A16">
        <w:rPr>
          <w:lang w:val="en-US"/>
        </w:rPr>
        <w:t xml:space="preserve"> Borja, H. Takayama, and Y Fukuyo. 2012. </w:t>
      </w:r>
      <w:r w:rsidRPr="00B35A16">
        <w:rPr>
          <w:i/>
          <w:iCs/>
          <w:lang w:val="en-US"/>
        </w:rPr>
        <w:t>Marine phytoplankton of the Western Pacific</w:t>
      </w:r>
      <w:r w:rsidRPr="00B35A16">
        <w:rPr>
          <w:lang w:val="en-US"/>
        </w:rPr>
        <w:t xml:space="preserve">. </w:t>
      </w:r>
      <w:proofErr w:type="spellStart"/>
      <w:r w:rsidRPr="00B35A16">
        <w:rPr>
          <w:lang w:val="en-US"/>
        </w:rPr>
        <w:t>Kouseisha</w:t>
      </w:r>
      <w:proofErr w:type="spellEnd"/>
      <w:r w:rsidRPr="00B35A16">
        <w:rPr>
          <w:lang w:val="en-US"/>
        </w:rPr>
        <w:t xml:space="preserve"> </w:t>
      </w:r>
      <w:proofErr w:type="spellStart"/>
      <w:r w:rsidRPr="00B35A16">
        <w:rPr>
          <w:lang w:val="en-US"/>
        </w:rPr>
        <w:t>Kouseikaku</w:t>
      </w:r>
      <w:proofErr w:type="spellEnd"/>
      <w:r w:rsidRPr="00B35A16">
        <w:rPr>
          <w:lang w:val="en-US"/>
        </w:rPr>
        <w:t>.</w:t>
      </w:r>
    </w:p>
    <w:p w14:paraId="09906872" w14:textId="77777777" w:rsidR="009B417A" w:rsidRPr="00B35A16" w:rsidRDefault="00000000">
      <w:pPr>
        <w:rPr>
          <w:lang w:val="en-US"/>
        </w:rPr>
      </w:pPr>
      <w:bookmarkStart w:id="28" w:name="ref-righetti2019global"/>
      <w:bookmarkEnd w:id="27"/>
      <w:r w:rsidRPr="00B35A16">
        <w:rPr>
          <w:lang w:val="en-US"/>
        </w:rPr>
        <w:t xml:space="preserve">Righetti, Damiano, Meike Vogt, Nicolas Gruber, Achilleas Psomas, and Niklaus E Zimmermann. 2019. “Global Pattern of Phytoplankton Diversity Driven by Temperature and Environmental Variability.” </w:t>
      </w:r>
      <w:r w:rsidRPr="00B35A16">
        <w:rPr>
          <w:i/>
          <w:iCs/>
          <w:lang w:val="en-US"/>
        </w:rPr>
        <w:t>Science Advances</w:t>
      </w:r>
      <w:r w:rsidRPr="00B35A16">
        <w:rPr>
          <w:lang w:val="en-US"/>
        </w:rPr>
        <w:t xml:space="preserve"> 5 (5): 6253.</w:t>
      </w:r>
    </w:p>
    <w:p w14:paraId="09906873" w14:textId="77777777" w:rsidR="009B417A" w:rsidRPr="00B35A16" w:rsidRDefault="00000000">
      <w:pPr>
        <w:rPr>
          <w:lang w:val="en-US"/>
        </w:rPr>
      </w:pPr>
      <w:bookmarkStart w:id="29" w:name="ref-rousseaux2012climate"/>
      <w:bookmarkEnd w:id="28"/>
      <w:r w:rsidRPr="00B35A16">
        <w:rPr>
          <w:lang w:val="en-US"/>
        </w:rPr>
        <w:t xml:space="preserve">Rousseaux, Cecile S, and Watson W Gregg. 2012. “Climate Variability and Phytoplankton Composition in the Pacific Ocean.” </w:t>
      </w:r>
      <w:r w:rsidRPr="00B35A16">
        <w:rPr>
          <w:i/>
          <w:iCs/>
          <w:lang w:val="en-US"/>
        </w:rPr>
        <w:t>Journal of Geophysical Research: Oceans</w:t>
      </w:r>
      <w:r w:rsidRPr="00B35A16">
        <w:rPr>
          <w:lang w:val="en-US"/>
        </w:rPr>
        <w:t xml:space="preserve"> 117 (C10).</w:t>
      </w:r>
    </w:p>
    <w:p w14:paraId="09906874" w14:textId="77777777" w:rsidR="009B417A" w:rsidRPr="00B35A16" w:rsidRDefault="00000000">
      <w:pPr>
        <w:rPr>
          <w:lang w:val="en-US"/>
        </w:rPr>
      </w:pPr>
      <w:bookmarkStart w:id="30" w:name="ref-spalding2007marine"/>
      <w:bookmarkEnd w:id="29"/>
      <w:r w:rsidRPr="00B35A16">
        <w:rPr>
          <w:lang w:val="en-US"/>
        </w:rPr>
        <w:t xml:space="preserve">Spalding, Mark D, Helen E Fox, Gerald R Allen, Nick Davidson, Zach A </w:t>
      </w:r>
      <w:proofErr w:type="spellStart"/>
      <w:r w:rsidRPr="00B35A16">
        <w:rPr>
          <w:lang w:val="en-US"/>
        </w:rPr>
        <w:t>Ferdaña</w:t>
      </w:r>
      <w:proofErr w:type="spellEnd"/>
      <w:r w:rsidRPr="00B35A16">
        <w:rPr>
          <w:lang w:val="en-US"/>
        </w:rPr>
        <w:t xml:space="preserve">, MAX Finlayson, Benjamin S Halpern, et al. 2007. “Marine Ecoregions of the World: A Bioregionalization of Coastal and Shelf Areas.” </w:t>
      </w:r>
      <w:proofErr w:type="spellStart"/>
      <w:r w:rsidRPr="00B35A16">
        <w:rPr>
          <w:i/>
          <w:iCs/>
          <w:lang w:val="en-US"/>
        </w:rPr>
        <w:t>BioScience</w:t>
      </w:r>
      <w:proofErr w:type="spellEnd"/>
      <w:r w:rsidRPr="00B35A16">
        <w:rPr>
          <w:lang w:val="en-US"/>
        </w:rPr>
        <w:t xml:space="preserve"> 57 (7): 573–83.</w:t>
      </w:r>
    </w:p>
    <w:p w14:paraId="09906875" w14:textId="77777777" w:rsidR="009B417A" w:rsidRPr="00B35A16" w:rsidRDefault="00000000">
      <w:pPr>
        <w:rPr>
          <w:lang w:val="en-US"/>
        </w:rPr>
      </w:pPr>
      <w:bookmarkStart w:id="31" w:name="ref-utermohl1958vervollkommnung"/>
      <w:bookmarkEnd w:id="30"/>
      <w:proofErr w:type="spellStart"/>
      <w:r w:rsidRPr="00B35A16">
        <w:rPr>
          <w:lang w:val="en-US"/>
        </w:rPr>
        <w:t>Utermöhl</w:t>
      </w:r>
      <w:proofErr w:type="spellEnd"/>
      <w:r w:rsidRPr="00B35A16">
        <w:rPr>
          <w:lang w:val="en-US"/>
        </w:rPr>
        <w:t xml:space="preserve">, Hans. 1958. “Zur </w:t>
      </w:r>
      <w:proofErr w:type="spellStart"/>
      <w:r w:rsidRPr="00B35A16">
        <w:rPr>
          <w:lang w:val="en-US"/>
        </w:rPr>
        <w:t>vervollkommnung</w:t>
      </w:r>
      <w:proofErr w:type="spellEnd"/>
      <w:r w:rsidRPr="00B35A16">
        <w:rPr>
          <w:lang w:val="en-US"/>
        </w:rPr>
        <w:t xml:space="preserve"> der </w:t>
      </w:r>
      <w:proofErr w:type="spellStart"/>
      <w:r w:rsidRPr="00B35A16">
        <w:rPr>
          <w:lang w:val="en-US"/>
        </w:rPr>
        <w:t>quantitativen</w:t>
      </w:r>
      <w:proofErr w:type="spellEnd"/>
      <w:r w:rsidRPr="00B35A16">
        <w:rPr>
          <w:lang w:val="en-US"/>
        </w:rPr>
        <w:t xml:space="preserve"> phytoplankton-</w:t>
      </w:r>
      <w:proofErr w:type="spellStart"/>
      <w:r w:rsidRPr="00B35A16">
        <w:rPr>
          <w:lang w:val="en-US"/>
        </w:rPr>
        <w:t>methodik</w:t>
      </w:r>
      <w:proofErr w:type="spellEnd"/>
      <w:r w:rsidRPr="00B35A16">
        <w:rPr>
          <w:lang w:val="en-US"/>
        </w:rPr>
        <w:t xml:space="preserve">: </w:t>
      </w:r>
      <w:proofErr w:type="spellStart"/>
      <w:r w:rsidRPr="00B35A16">
        <w:rPr>
          <w:lang w:val="en-US"/>
        </w:rPr>
        <w:t>Mit</w:t>
      </w:r>
      <w:proofErr w:type="spellEnd"/>
      <w:r w:rsidRPr="00B35A16">
        <w:rPr>
          <w:lang w:val="en-US"/>
        </w:rPr>
        <w:t xml:space="preserve"> 1 </w:t>
      </w:r>
      <w:proofErr w:type="spellStart"/>
      <w:r w:rsidRPr="00B35A16">
        <w:rPr>
          <w:lang w:val="en-US"/>
        </w:rPr>
        <w:t>Tabelle</w:t>
      </w:r>
      <w:proofErr w:type="spellEnd"/>
      <w:r w:rsidRPr="00B35A16">
        <w:rPr>
          <w:lang w:val="en-US"/>
        </w:rPr>
        <w:t xml:space="preserve"> und 15 </w:t>
      </w:r>
      <w:proofErr w:type="spellStart"/>
      <w:r w:rsidRPr="00B35A16">
        <w:rPr>
          <w:lang w:val="en-US"/>
        </w:rPr>
        <w:t>abbildungen</w:t>
      </w:r>
      <w:proofErr w:type="spellEnd"/>
      <w:r w:rsidRPr="00B35A16">
        <w:rPr>
          <w:lang w:val="en-US"/>
        </w:rPr>
        <w:t xml:space="preserve"> im-Text und auf 1 Tafel.” </w:t>
      </w:r>
      <w:proofErr w:type="spellStart"/>
      <w:r w:rsidRPr="00B35A16">
        <w:rPr>
          <w:i/>
          <w:iCs/>
          <w:lang w:val="en-US"/>
        </w:rPr>
        <w:t>Internationale</w:t>
      </w:r>
      <w:proofErr w:type="spellEnd"/>
      <w:r w:rsidRPr="00B35A16">
        <w:rPr>
          <w:i/>
          <w:iCs/>
          <w:lang w:val="en-US"/>
        </w:rPr>
        <w:t xml:space="preserve"> </w:t>
      </w:r>
      <w:proofErr w:type="spellStart"/>
      <w:r w:rsidRPr="00B35A16">
        <w:rPr>
          <w:i/>
          <w:iCs/>
          <w:lang w:val="en-US"/>
        </w:rPr>
        <w:t>Vereinigung</w:t>
      </w:r>
      <w:proofErr w:type="spellEnd"/>
      <w:r w:rsidRPr="00B35A16">
        <w:rPr>
          <w:i/>
          <w:iCs/>
          <w:lang w:val="en-US"/>
        </w:rPr>
        <w:t xml:space="preserve"> für </w:t>
      </w:r>
      <w:proofErr w:type="spellStart"/>
      <w:r w:rsidRPr="00B35A16">
        <w:rPr>
          <w:i/>
          <w:iCs/>
          <w:lang w:val="en-US"/>
        </w:rPr>
        <w:t>Theoretische</w:t>
      </w:r>
      <w:proofErr w:type="spellEnd"/>
      <w:r w:rsidRPr="00B35A16">
        <w:rPr>
          <w:i/>
          <w:iCs/>
          <w:lang w:val="en-US"/>
        </w:rPr>
        <w:t xml:space="preserve"> Und </w:t>
      </w:r>
      <w:proofErr w:type="spellStart"/>
      <w:r w:rsidRPr="00B35A16">
        <w:rPr>
          <w:i/>
          <w:iCs/>
          <w:lang w:val="en-US"/>
        </w:rPr>
        <w:t>Angewandte</w:t>
      </w:r>
      <w:proofErr w:type="spellEnd"/>
      <w:r w:rsidRPr="00B35A16">
        <w:rPr>
          <w:i/>
          <w:iCs/>
          <w:lang w:val="en-US"/>
        </w:rPr>
        <w:t xml:space="preserve"> </w:t>
      </w:r>
      <w:proofErr w:type="spellStart"/>
      <w:r w:rsidRPr="00B35A16">
        <w:rPr>
          <w:i/>
          <w:iCs/>
          <w:lang w:val="en-US"/>
        </w:rPr>
        <w:t>Limnologie</w:t>
      </w:r>
      <w:proofErr w:type="spellEnd"/>
      <w:r w:rsidRPr="00B35A16">
        <w:rPr>
          <w:i/>
          <w:iCs/>
          <w:lang w:val="en-US"/>
        </w:rPr>
        <w:t xml:space="preserve">: </w:t>
      </w:r>
      <w:proofErr w:type="spellStart"/>
      <w:r w:rsidRPr="00B35A16">
        <w:rPr>
          <w:i/>
          <w:iCs/>
          <w:lang w:val="en-US"/>
        </w:rPr>
        <w:t>Mitteilungen</w:t>
      </w:r>
      <w:proofErr w:type="spellEnd"/>
      <w:r w:rsidRPr="00B35A16">
        <w:rPr>
          <w:lang w:val="en-US"/>
        </w:rPr>
        <w:t xml:space="preserve"> 9 (1): 1–38.</w:t>
      </w:r>
    </w:p>
    <w:p w14:paraId="09906876" w14:textId="77777777" w:rsidR="009B417A" w:rsidRDefault="00000000">
      <w:bookmarkStart w:id="32" w:name="ref-wright1983species"/>
      <w:bookmarkEnd w:id="31"/>
      <w:r w:rsidRPr="00B35A16">
        <w:rPr>
          <w:lang w:val="en-US"/>
        </w:rPr>
        <w:t xml:space="preserve">Wright, David Hamilton. 1983. “Species-Energy Theory: An Extension of Species-Area Theory.” </w:t>
      </w:r>
      <w:r>
        <w:rPr>
          <w:i/>
          <w:iCs/>
        </w:rPr>
        <w:t>Oikos</w:t>
      </w:r>
      <w:r>
        <w:t>, 496–506.</w:t>
      </w:r>
      <w:bookmarkEnd w:id="12"/>
      <w:bookmarkEnd w:id="14"/>
      <w:bookmarkEnd w:id="32"/>
    </w:p>
    <w:sectPr w:rsidR="009B417A">
      <w:pgSz w:w="11907" w:h="16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345DC" w14:textId="77777777" w:rsidR="00A81D51" w:rsidRDefault="00A81D51">
      <w:pPr>
        <w:spacing w:before="0" w:after="0"/>
      </w:pPr>
      <w:r>
        <w:separator/>
      </w:r>
    </w:p>
  </w:endnote>
  <w:endnote w:type="continuationSeparator" w:id="0">
    <w:p w14:paraId="7A9B714D" w14:textId="77777777" w:rsidR="00A81D51" w:rsidRDefault="00A81D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748B7" w14:textId="77777777" w:rsidR="00A81D51" w:rsidRDefault="00A81D51">
      <w:r>
        <w:separator/>
      </w:r>
    </w:p>
  </w:footnote>
  <w:footnote w:type="continuationSeparator" w:id="0">
    <w:p w14:paraId="0FA68591" w14:textId="77777777" w:rsidR="00A81D51" w:rsidRDefault="00A81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7F8FB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8C9B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65312631">
    <w:abstractNumId w:val="0"/>
  </w:num>
  <w:num w:numId="2" w16cid:durableId="827134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7A"/>
    <w:rsid w:val="009B417A"/>
    <w:rsid w:val="00A81D51"/>
    <w:rsid w:val="00B35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6841"/>
  <w15:docId w15:val="{485DDB27-E483-4BF6-BAF8-552F920C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C82"/>
    <w:pPr>
      <w:spacing w:before="120" w:after="120"/>
      <w:jc w:val="both"/>
    </w:pPr>
    <w:rPr>
      <w:rFonts w:asciiTheme="majorHAnsi" w:hAnsiTheme="majorHAnsi"/>
    </w:rPr>
  </w:style>
  <w:style w:type="paragraph" w:styleId="Ttulo1">
    <w:name w:val="heading 1"/>
    <w:basedOn w:val="Normal"/>
    <w:next w:val="Normal"/>
    <w:uiPriority w:val="9"/>
    <w:qFormat/>
    <w:rsid w:val="001335AB"/>
    <w:pPr>
      <w:outlineLvl w:val="0"/>
    </w:pPr>
    <w:rPr>
      <w:rFonts w:eastAsia="Times New Roman" w:cstheme="majorHAnsi"/>
      <w:b/>
      <w:sz w:val="28"/>
      <w:szCs w:val="28"/>
    </w:rPr>
  </w:style>
  <w:style w:type="paragraph" w:styleId="Ttulo2">
    <w:name w:val="heading 2"/>
    <w:basedOn w:val="Normal"/>
    <w:next w:val="Normal"/>
    <w:uiPriority w:val="9"/>
    <w:unhideWhenUsed/>
    <w:qFormat/>
    <w:rsid w:val="001335AB"/>
    <w:pPr>
      <w:outlineLvl w:val="1"/>
    </w:pPr>
    <w:rPr>
      <w:rFonts w:eastAsia="Times New Roman" w:cstheme="majorHAnsi"/>
      <w:b/>
    </w:rPr>
  </w:style>
  <w:style w:type="paragraph" w:styleId="Ttulo3">
    <w:name w:val="heading 3"/>
    <w:basedOn w:val="Normal"/>
    <w:next w:val="Normal"/>
    <w:uiPriority w:val="9"/>
    <w:unhideWhenUsed/>
    <w:qFormat/>
    <w:rsid w:val="00BE5961"/>
    <w:pPr>
      <w:spacing w:line="320" w:lineRule="auto"/>
      <w:outlineLvl w:val="2"/>
    </w:pPr>
    <w:rPr>
      <w:rFonts w:eastAsia="Times New Roman" w:cstheme="majorHAnsi"/>
      <w:b/>
    </w:rPr>
  </w:style>
  <w:style w:type="paragraph" w:styleId="Ttulo4">
    <w:name w:val="heading 4"/>
    <w:basedOn w:val="Normal"/>
    <w:next w:val="Normal"/>
    <w:uiPriority w:val="9"/>
    <w:unhideWhenUsed/>
    <w:qFormat/>
    <w:rsid w:val="00553B25"/>
    <w:pPr>
      <w:outlineLvl w:val="3"/>
    </w:pPr>
    <w:rPr>
      <w:rFonts w:eastAsia="Times New Roman" w:cstheme="majorHAnsi"/>
      <w:b/>
    </w:rPr>
  </w:style>
  <w:style w:type="paragraph" w:styleId="Ttulo5">
    <w:name w:val="heading 5"/>
    <w:basedOn w:val="Normal"/>
    <w:next w:val="Normal"/>
    <w:uiPriority w:val="9"/>
    <w:semiHidden/>
    <w:unhideWhenUsed/>
    <w:qFormat/>
    <w:pPr>
      <w:spacing w:before="240" w:after="60"/>
      <w:outlineLvl w:val="4"/>
    </w:pPr>
    <w:rPr>
      <w:b/>
      <w:i/>
      <w:sz w:val="26"/>
      <w:szCs w:val="26"/>
    </w:rPr>
  </w:style>
  <w:style w:type="paragraph" w:styleId="Ttulo6">
    <w:name w:val="heading 6"/>
    <w:basedOn w:val="Normal"/>
    <w:next w:val="Normal"/>
    <w:uiPriority w:val="9"/>
    <w:semiHidden/>
    <w:unhideWhenUsed/>
    <w:qFormat/>
    <w:pP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before="240" w:after="60"/>
      <w:jc w:val="center"/>
    </w:pPr>
    <w:rPr>
      <w:b/>
      <w:sz w:val="32"/>
      <w:szCs w:val="32"/>
    </w:rPr>
  </w:style>
  <w:style w:type="paragraph" w:styleId="Subttulo">
    <w:name w:val="Subtitle"/>
    <w:basedOn w:val="Normal"/>
    <w:next w:val="Normal"/>
    <w:uiPriority w:val="11"/>
    <w:qFormat/>
    <w:pPr>
      <w:spacing w:after="60"/>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ata.marine.copernicus.eu/product/OCEANCOLOUR_GLO_BGC_L4_NRT_009_102/descrip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1841</Words>
  <Characters>10127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relación de la biodiversidad del fitoplancton y la productividad primaria en la ensenada de Panamá en dos meses del año 2023.</dc:title>
  <dc:creator/>
  <cp:keywords/>
  <cp:lastModifiedBy>Christian Bermúdez Rivas</cp:lastModifiedBy>
  <cp:revision>2</cp:revision>
  <dcterms:created xsi:type="dcterms:W3CDTF">2024-09-30T19:23:00Z</dcterms:created>
  <dcterms:modified xsi:type="dcterms:W3CDTF">2024-09-30T19:24:00Z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itation">
    <vt:lpwstr>apa-6th-edition.csl</vt:lpwstr>
  </property>
  <property fmtid="{D5CDD505-2E9C-101B-9397-08002B2CF9AE}" pid="4" name="output">
    <vt:lpwstr/>
  </property>
</Properties>
</file>