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eastAsia="微软雅黑"/>
          <w:rFonts w:ascii="微软雅黑" w:hAnsi="微软雅黑"/>
          <w:b/>
          <w:color w:val="1A3A5C"/>
          <w:sz w:val="52"/>
        </w:rPr>
        <w:t>用户端 8.0 需求说明</w:t>
      </w:r>
    </w:p>
    <w:p>
      <w:pPr>
        <w:spacing w:before="0" w:after="400"/>
        <w:jc w:val="center"/>
      </w:pPr>
      <w:r>
        <w:rPr>
          <w:rFonts w:eastAsia="微软雅黑"/>
          <w:rFonts w:ascii="微软雅黑" w:hAnsi="微软雅黑"/>
          <w:b w:val="0"/>
          <w:color w:val="888888"/>
          <w:sz w:val="22"/>
        </w:rPr>
        <w:t>产品优化需求文档　·　2026-06</w:t>
      </w:r>
    </w:p>
    <w:p>
      <w:pPr>
        <w:pBdr>
          <w:top w:val="thick" w:sz="12" w:space="4" w:color="1A3A5C"/>
          <w:bottom w:val="single" w:sz="4" w:space="4" w:color="2E86C1"/>
        </w:pBdr>
        <w:spacing w:before="440" w:after="120"/>
      </w:pPr>
      <w:r>
        <w:rPr>
          <w:rFonts w:eastAsia="微软雅黑"/>
          <w:rFonts w:ascii="微软雅黑" w:hAnsi="微软雅黑"/>
          <w:b/>
          <w:color w:val="1A3A5C"/>
          <w:sz w:val="30"/>
        </w:rPr>
        <w:t>需求 1　会员管理 · 健康档案 · 数据同步</w:t>
      </w:r>
    </w:p>
    <w:p>
      <w:pPr>
        <w:pBdr>
          <w:left w:val="single" w:sz="16" w:space="8" w:color="2E86C1"/>
        </w:pBdr>
        <w:spacing w:before="240" w:after="80"/>
        <w:ind w:left="198"/>
      </w:pPr>
      <w:r>
        <w:rPr>
          <w:rFonts w:eastAsia="微软雅黑"/>
          <w:rFonts w:ascii="微软雅黑" w:hAnsi="微软雅黑"/>
          <w:b/>
          <w:color w:val="2E86C1"/>
          <w:sz w:val="26"/>
        </w:rPr>
        <w:t>问题描述</w:t>
      </w:r>
    </w:p>
    <w:p>
      <w:pPr>
        <w:pStyle w:val="ListNumber"/>
        <w:spacing w:before="40" w:after="80"/>
        <w:ind w:left="425" w:hanging="238"/>
      </w:pPr>
      <w:r>
        <w:rPr>
          <w:rFonts w:eastAsia="微软雅黑"/>
          <w:rFonts w:ascii="微软雅黑" w:hAnsi="微软雅黑"/>
          <w:b w:val="0"/>
          <w:sz w:val="22"/>
        </w:rPr>
        <w:t>营养师账号无法添加已注册会员（如测试会员</w:t>
      </w:r>
      <w:r>
        <w:rPr>
          <w:rFonts w:eastAsia="微软雅黑"/>
          <w:rFonts w:ascii="微软雅黑" w:hAnsi="微软雅黑"/>
          <w:b/>
          <w:sz w:val="22"/>
        </w:rPr>
        <w:t>“李美美”</w:t>
      </w:r>
      <w:r>
        <w:rPr>
          <w:rFonts w:eastAsia="微软雅黑"/>
          <w:rFonts w:ascii="微软雅黑" w:hAnsi="微软雅黑"/>
          <w:b w:val="0"/>
          <w:sz w:val="22"/>
        </w:rPr>
        <w:t>）。客户已通过用户端注册后，医护端应可直接分配，而非重复新增。</w:t>
      </w:r>
    </w:p>
    <w:p>
      <w:pPr>
        <w:pStyle w:val="ListNumber"/>
        <w:spacing w:before="40" w:after="80"/>
        <w:ind w:left="425" w:hanging="238"/>
      </w:pPr>
      <w:r>
        <w:rPr>
          <w:rFonts w:eastAsia="微软雅黑"/>
          <w:rFonts w:ascii="微软雅黑" w:hAnsi="微软雅黑"/>
          <w:b w:val="0"/>
          <w:sz w:val="22"/>
        </w:rPr>
        <w:t>医护端健康档案缺少</w:t>
      </w:r>
      <w:r>
        <w:rPr>
          <w:rFonts w:eastAsia="微软雅黑"/>
          <w:rFonts w:ascii="微软雅黑" w:hAnsi="微软雅黑"/>
          <w:b/>
          <w:sz w:val="22"/>
        </w:rPr>
        <w:t>“家族史”</w:t>
      </w:r>
      <w:r>
        <w:rPr>
          <w:rFonts w:eastAsia="微软雅黑"/>
          <w:rFonts w:ascii="微软雅黑" w:hAnsi="微软雅黑"/>
          <w:b w:val="0"/>
          <w:sz w:val="22"/>
        </w:rPr>
        <w:t>字段。</w:t>
      </w:r>
    </w:p>
    <w:p>
      <w:pPr>
        <w:pStyle w:val="ListNumber"/>
        <w:spacing w:before="40" w:after="80"/>
        <w:ind w:left="425" w:hanging="238"/>
      </w:pPr>
      <w:r>
        <w:rPr>
          <w:rFonts w:eastAsia="微软雅黑"/>
          <w:rFonts w:ascii="微软雅黑" w:hAnsi="微软雅黑"/>
          <w:b w:val="0"/>
          <w:sz w:val="22"/>
        </w:rPr>
        <w:t>用户端健康档案的</w:t>
      </w:r>
      <w:r>
        <w:rPr>
          <w:rFonts w:eastAsia="微软雅黑"/>
          <w:rFonts w:ascii="微软雅黑" w:hAnsi="微软雅黑"/>
          <w:b/>
          <w:sz w:val="22"/>
        </w:rPr>
        <w:t>“血型”与“传染病史”</w:t>
      </w:r>
      <w:r>
        <w:rPr>
          <w:rFonts w:eastAsia="微软雅黑"/>
          <w:rFonts w:ascii="微软雅黑" w:hAnsi="微软雅黑"/>
          <w:b w:val="0"/>
          <w:sz w:val="22"/>
        </w:rPr>
        <w:t>未与医护端同步（一端填写，另一端不可见）。</w:t>
      </w:r>
    </w:p>
    <w:p>
      <w:pPr>
        <w:pBdr>
          <w:left w:val="single" w:sz="16" w:space="8" w:color="2E86C1"/>
        </w:pBdr>
        <w:spacing w:before="240" w:after="80"/>
        <w:ind w:left="198"/>
      </w:pPr>
      <w:r>
        <w:rPr>
          <w:rFonts w:eastAsia="微软雅黑"/>
          <w:rFonts w:ascii="微软雅黑" w:hAnsi="微软雅黑"/>
          <w:b/>
          <w:color w:val="2E86C1"/>
          <w:sz w:val="26"/>
        </w:rPr>
        <w:t>优化要求</w:t>
      </w:r>
    </w:p>
    <w:p>
      <w:pPr>
        <w:spacing w:before="160" w:after="40"/>
      </w:pPr>
      <w:r>
        <w:rPr>
          <w:rFonts w:eastAsia="微软雅黑"/>
          <w:rFonts w:ascii="微软雅黑" w:hAnsi="微软雅黑"/>
          <w:b/>
          <w:color w:val="1A5276"/>
          <w:sz w:val="24"/>
        </w:rPr>
        <w:t>1.1　会员分配机制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/>
          <w:sz w:val="22"/>
        </w:rPr>
        <w:t>原则：</w:t>
      </w:r>
      <w:r>
        <w:rPr>
          <w:rFonts w:eastAsia="微软雅黑"/>
          <w:rFonts w:ascii="微软雅黑" w:hAnsi="微软雅黑"/>
          <w:b w:val="0"/>
          <w:sz w:val="22"/>
        </w:rPr>
        <w:t>所有客户（会员）信息以用户端注册为基础；注册后，系统自动在后台生成客户记录。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/>
          <w:sz w:val="22"/>
        </w:rPr>
        <w:t>医护端新增会员：</w:t>
      </w:r>
      <w:r>
        <w:rPr>
          <w:rFonts w:eastAsia="微软雅黑"/>
          <w:rFonts w:ascii="微软雅黑" w:hAnsi="微软雅黑"/>
          <w:b w:val="0"/>
          <w:sz w:val="22"/>
        </w:rPr>
        <w:t>若客户已通过用户端注册，医护端不应再“新增”同手机号会员，而应提供</w:t>
      </w:r>
      <w:r>
        <w:rPr>
          <w:rFonts w:eastAsia="微软雅黑"/>
          <w:rFonts w:ascii="微软雅黑" w:hAnsi="微软雅黑"/>
          <w:b/>
          <w:sz w:val="22"/>
        </w:rPr>
        <w:t>“分配/认领”</w:t>
      </w:r>
      <w:r>
        <w:rPr>
          <w:rFonts w:eastAsia="微软雅黑"/>
          <w:rFonts w:ascii="微软雅黑" w:hAnsi="微软雅黑"/>
          <w:b w:val="0"/>
          <w:sz w:val="22"/>
        </w:rPr>
        <w:t>功能，将该客户分配给家庭医生、营养师、健管专员等。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/>
          <w:sz w:val="22"/>
        </w:rPr>
        <w:t>营养师账号：</w:t>
      </w:r>
      <w:r>
        <w:rPr>
          <w:rFonts w:eastAsia="微软雅黑"/>
          <w:rFonts w:ascii="微软雅黑" w:hAnsi="微软雅黑"/>
          <w:b w:val="0"/>
          <w:sz w:val="22"/>
        </w:rPr>
        <w:t>应提供“分配会员”或“搜索已注册会员并添加到名下”功能，而非“新增”。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/>
          <w:sz w:val="22"/>
        </w:rPr>
        <w:t>界面调整：</w:t>
      </w:r>
      <w:r>
        <w:rPr>
          <w:rFonts w:eastAsia="微软雅黑"/>
          <w:rFonts w:ascii="微软雅黑" w:hAnsi="微软雅黑"/>
          <w:b w:val="0"/>
          <w:sz w:val="22"/>
        </w:rPr>
        <w:t>医护端“会员管理”增加“分配已有会员”按钮，支持按手机号/姓名搜索，选择后分配责任关系。</w:t>
      </w:r>
    </w:p>
    <w:p>
      <w:pPr>
        <w:spacing w:before="160" w:after="40"/>
      </w:pPr>
      <w:r>
        <w:rPr>
          <w:rFonts w:eastAsia="微软雅黑"/>
          <w:rFonts w:ascii="微软雅黑" w:hAnsi="微软雅黑"/>
          <w:b/>
          <w:color w:val="1A5276"/>
          <w:sz w:val="24"/>
        </w:rPr>
        <w:t>1.2　健康档案增加“家族史”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在医护端健康档案中增加</w:t>
      </w:r>
      <w:r>
        <w:rPr>
          <w:rFonts w:eastAsia="微软雅黑"/>
          <w:rFonts w:ascii="微软雅黑" w:hAnsi="微软雅黑"/>
          <w:b/>
          <w:sz w:val="22"/>
        </w:rPr>
        <w:t>“家族史”</w:t>
      </w:r>
      <w:r>
        <w:rPr>
          <w:rFonts w:eastAsia="微软雅黑"/>
          <w:rFonts w:ascii="微软雅黑" w:hAnsi="微软雅黑"/>
          <w:b w:val="0"/>
          <w:sz w:val="22"/>
        </w:rPr>
        <w:t>字段（文本，支持多行），用于记录家族遗传病史。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该字段需同步至用户端健康档案，用户端仅可查看（只读）。</w:t>
      </w:r>
    </w:p>
    <w:p>
      <w:pPr>
        <w:spacing w:before="160" w:after="40"/>
      </w:pPr>
      <w:r>
        <w:rPr>
          <w:rFonts w:eastAsia="微软雅黑"/>
          <w:rFonts w:ascii="微软雅黑" w:hAnsi="微软雅黑"/>
          <w:b/>
          <w:color w:val="1A5276"/>
          <w:sz w:val="24"/>
        </w:rPr>
        <w:t>1.3　血型与传染病史同步修复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确保用户端填写的“ABO血型、RH血型”与“传染病史”能正确保存并同步至医护端。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医护端编辑上述字段后，用户端同步实时更新。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检查两端接口，确保字段名称和数据结构一致。</w:t>
      </w:r>
    </w:p>
    <w:p>
      <w:pPr>
        <w:pBdr>
          <w:top w:val="thick" w:sz="12" w:space="4" w:color="1A3A5C"/>
          <w:bottom w:val="single" w:sz="4" w:space="4" w:color="2E86C1"/>
        </w:pBdr>
        <w:spacing w:before="440" w:after="120"/>
      </w:pPr>
      <w:r>
        <w:rPr>
          <w:rFonts w:eastAsia="微软雅黑"/>
          <w:rFonts w:ascii="微软雅黑" w:hAnsi="微软雅黑"/>
          <w:b/>
          <w:color w:val="1A3A5C"/>
          <w:sz w:val="30"/>
        </w:rPr>
        <w:t>需求 2　生活方式增加“排便”字段</w:t>
      </w:r>
    </w:p>
    <w:p>
      <w:pPr>
        <w:pBdr>
          <w:left w:val="single" w:sz="16" w:space="8" w:color="2E86C1"/>
        </w:pBdr>
        <w:spacing w:before="240" w:after="80"/>
        <w:ind w:left="198"/>
      </w:pPr>
      <w:r>
        <w:rPr>
          <w:rFonts w:eastAsia="微软雅黑"/>
          <w:rFonts w:ascii="微软雅黑" w:hAnsi="微软雅黑"/>
          <w:b/>
          <w:color w:val="2E86C1"/>
          <w:sz w:val="26"/>
        </w:rPr>
        <w:t>问题描述</w:t>
      </w:r>
    </w:p>
    <w:p>
      <w:pPr>
        <w:pStyle w:val="ListNumber"/>
        <w:spacing w:before="40" w:after="80"/>
        <w:ind w:left="425" w:hanging="238"/>
      </w:pPr>
      <w:r>
        <w:rPr>
          <w:rFonts w:eastAsia="微软雅黑"/>
          <w:rFonts w:ascii="微软雅黑" w:hAnsi="微软雅黑"/>
          <w:b w:val="0"/>
          <w:sz w:val="22"/>
        </w:rPr>
        <w:t>用户端生活方式当前缺少“排便”字段，医护端已有排便记录，两端数据不一致。</w:t>
      </w:r>
    </w:p>
    <w:p>
      <w:pPr>
        <w:pStyle w:val="ListNumber"/>
        <w:spacing w:before="40" w:after="80"/>
        <w:ind w:left="425" w:hanging="238"/>
      </w:pPr>
      <w:r>
        <w:rPr>
          <w:rFonts w:eastAsia="微软雅黑"/>
          <w:rFonts w:ascii="微软雅黑" w:hAnsi="微软雅黑"/>
          <w:b w:val="0"/>
          <w:sz w:val="22"/>
        </w:rPr>
        <w:t>排便需纳入初始记录，并与医护端打通。</w:t>
      </w:r>
    </w:p>
    <w:p>
      <w:pPr>
        <w:pBdr>
          <w:left w:val="single" w:sz="16" w:space="8" w:color="2E86C1"/>
        </w:pBdr>
        <w:spacing w:before="240" w:after="80"/>
        <w:ind w:left="198"/>
      </w:pPr>
      <w:r>
        <w:rPr>
          <w:rFonts w:eastAsia="微软雅黑"/>
          <w:rFonts w:ascii="微软雅黑" w:hAnsi="微软雅黑"/>
          <w:b/>
          <w:color w:val="2E86C1"/>
          <w:sz w:val="26"/>
        </w:rPr>
        <w:t>优化要求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在用户端“我的健康 → 生活方式”中增加</w:t>
      </w:r>
      <w:r>
        <w:rPr>
          <w:rFonts w:eastAsia="微软雅黑"/>
          <w:rFonts w:ascii="微软雅黑" w:hAnsi="微软雅黑"/>
          <w:b/>
          <w:sz w:val="22"/>
        </w:rPr>
        <w:t>“排便”</w:t>
      </w:r>
      <w:r>
        <w:rPr>
          <w:rFonts w:eastAsia="微软雅黑"/>
          <w:rFonts w:ascii="微软雅黑" w:hAnsi="微软雅黑"/>
          <w:b w:val="0"/>
          <w:sz w:val="22"/>
        </w:rPr>
        <w:t>字段：</w:t>
      </w:r>
    </w:p>
    <w:p>
      <w:pPr>
        <w:pStyle w:val="ListBullet"/>
        <w:spacing w:before="40" w:after="80"/>
        <w:ind w:left="850" w:hanging="215"/>
      </w:pPr>
      <w:r>
        <w:rPr>
          <w:rFonts w:eastAsia="微软雅黑"/>
          <w:rFonts w:ascii="微软雅黑" w:hAnsi="微软雅黑"/>
          <w:b w:val="0"/>
          <w:sz w:val="22"/>
        </w:rPr>
        <w:t>可记录：排便次数（如“1次/日”）、性状（如“成形/稀便”）、是否有异常等。</w:t>
      </w:r>
    </w:p>
    <w:p>
      <w:pPr>
        <w:pStyle w:val="ListBullet"/>
        <w:spacing w:before="40" w:after="80"/>
        <w:ind w:left="850" w:hanging="215"/>
      </w:pPr>
      <w:r>
        <w:rPr>
          <w:rFonts w:eastAsia="微软雅黑"/>
          <w:rFonts w:ascii="微软雅黑" w:hAnsi="微软雅黑"/>
          <w:b w:val="0"/>
          <w:sz w:val="22"/>
        </w:rPr>
        <w:t>用户可手动编辑，也可通过每日打卡更新。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该字段需与医护端“排便”字段</w:t>
      </w:r>
      <w:r>
        <w:rPr>
          <w:rFonts w:eastAsia="微软雅黑"/>
          <w:rFonts w:ascii="微软雅黑" w:hAnsi="微软雅黑"/>
          <w:b/>
          <w:sz w:val="22"/>
        </w:rPr>
        <w:t>双向同步</w:t>
      </w:r>
      <w:r>
        <w:rPr>
          <w:rFonts w:eastAsia="微软雅黑"/>
          <w:rFonts w:ascii="微软雅黑" w:hAnsi="微软雅黑"/>
          <w:b w:val="0"/>
          <w:sz w:val="22"/>
        </w:rPr>
        <w:t>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初始值可为空。</w:t>
      </w:r>
    </w:p>
    <w:p>
      <w:pPr>
        <w:pBdr>
          <w:top w:val="thick" w:sz="12" w:space="4" w:color="1A3A5C"/>
          <w:bottom w:val="single" w:sz="4" w:space="4" w:color="2E86C1"/>
        </w:pBdr>
        <w:spacing w:before="440" w:after="120"/>
      </w:pPr>
      <w:r>
        <w:rPr>
          <w:rFonts w:eastAsia="微软雅黑"/>
          <w:rFonts w:ascii="微软雅黑" w:hAnsi="微软雅黑"/>
          <w:b/>
          <w:color w:val="1A3A5C"/>
          <w:sz w:val="30"/>
        </w:rPr>
        <w:t>需求 3　健康打卡完成状态同步至医护端</w:t>
      </w:r>
    </w:p>
    <w:p>
      <w:pPr>
        <w:pBdr>
          <w:left w:val="single" w:sz="16" w:space="8" w:color="2E86C1"/>
        </w:pBdr>
        <w:spacing w:before="240" w:after="80"/>
        <w:ind w:left="198"/>
      </w:pPr>
      <w:r>
        <w:rPr>
          <w:rFonts w:eastAsia="微软雅黑"/>
          <w:rFonts w:ascii="微软雅黑" w:hAnsi="微软雅黑"/>
          <w:b/>
          <w:color w:val="2E86C1"/>
          <w:sz w:val="26"/>
        </w:rPr>
        <w:t>问题描述</w:t>
      </w:r>
    </w:p>
    <w:p>
      <w:pPr>
        <w:pStyle w:val="ListNumber"/>
        <w:spacing w:before="40" w:after="80"/>
        <w:ind w:left="425" w:hanging="238"/>
      </w:pPr>
      <w:r>
        <w:rPr>
          <w:rFonts w:eastAsia="微软雅黑"/>
          <w:rFonts w:ascii="微软雅黑" w:hAnsi="微软雅黑"/>
          <w:b w:val="0"/>
          <w:sz w:val="22"/>
        </w:rPr>
        <w:t>用户在客户端完成打卡（如血压、血糖等），医护端未收到通知或状态更新。</w:t>
      </w:r>
    </w:p>
    <w:p>
      <w:pPr>
        <w:pBdr>
          <w:left w:val="single" w:sz="16" w:space="8" w:color="2E86C1"/>
        </w:pBdr>
        <w:spacing w:before="240" w:after="80"/>
        <w:ind w:left="198"/>
      </w:pPr>
      <w:r>
        <w:rPr>
          <w:rFonts w:eastAsia="微软雅黑"/>
          <w:rFonts w:ascii="微软雅黑" w:hAnsi="微软雅黑"/>
          <w:b/>
          <w:color w:val="2E86C1"/>
          <w:sz w:val="26"/>
        </w:rPr>
        <w:t>优化要求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用户每次完成打卡后，后端实时更新对应客户的任务完成状态。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医护端“随访管理 → 待随访/随访中”列表中显示客户打卡任务的</w:t>
      </w:r>
      <w:r>
        <w:rPr>
          <w:rFonts w:eastAsia="微软雅黑"/>
          <w:rFonts w:ascii="微软雅黑" w:hAnsi="微软雅黑"/>
          <w:b/>
          <w:sz w:val="22"/>
        </w:rPr>
        <w:t>完成情况</w:t>
      </w:r>
      <w:r>
        <w:rPr>
          <w:rFonts w:eastAsia="微软雅黑"/>
          <w:rFonts w:ascii="微软雅黑" w:hAnsi="微软雅黑"/>
          <w:b w:val="0"/>
          <w:sz w:val="22"/>
        </w:rPr>
        <w:t>：</w:t>
      </w:r>
    </w:p>
    <w:p>
      <w:pPr>
        <w:pStyle w:val="ListBullet"/>
        <w:spacing w:before="40" w:after="80"/>
        <w:ind w:left="850" w:hanging="215"/>
      </w:pPr>
      <w:r>
        <w:rPr>
          <w:rFonts w:eastAsia="微软雅黑"/>
          <w:rFonts w:ascii="微软雅黑" w:hAnsi="微软雅黑"/>
          <w:b w:val="0"/>
          <w:sz w:val="22"/>
        </w:rPr>
        <w:t>例如：随访计划要求“每日测量血压”，用户打卡后，该任务完成状态变为“已完成”。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医护端增加“打卡记录”查看入口，在客户详情页健康档案中展示近期打卡数据。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/>
          <w:sz w:val="22"/>
        </w:rPr>
        <w:t>《可选》</w:t>
      </w:r>
      <w:r>
        <w:rPr>
          <w:rFonts w:eastAsia="微软雅黑"/>
          <w:rFonts w:ascii="微软雅黑" w:hAnsi="微软雅黑"/>
          <w:b w:val="0"/>
          <w:sz w:val="22"/>
        </w:rPr>
        <w:t>通过消息通知（右上角红点或系统通知）提醒医护人员客户已完成打卡。</w:t>
      </w:r>
    </w:p>
    <w:p>
      <w:pPr>
        <w:pBdr>
          <w:top w:val="thick" w:sz="12" w:space="4" w:color="1A3A5C"/>
          <w:bottom w:val="single" w:sz="4" w:space="4" w:color="2E86C1"/>
        </w:pBdr>
        <w:spacing w:before="440" w:after="120"/>
      </w:pPr>
      <w:r>
        <w:rPr>
          <w:rFonts w:eastAsia="微软雅黑"/>
          <w:rFonts w:ascii="微软雅黑" w:hAnsi="微软雅黑"/>
          <w:b/>
          <w:color w:val="1A3A5C"/>
          <w:sz w:val="30"/>
        </w:rPr>
        <w:t>需求 4　营养干预方案完成标记与进度同步</w:t>
      </w:r>
    </w:p>
    <w:p>
      <w:pPr>
        <w:pBdr>
          <w:left w:val="single" w:sz="16" w:space="8" w:color="2E86C1"/>
        </w:pBdr>
        <w:spacing w:before="240" w:after="80"/>
        <w:ind w:left="198"/>
      </w:pPr>
      <w:r>
        <w:rPr>
          <w:rFonts w:eastAsia="微软雅黑"/>
          <w:rFonts w:ascii="微软雅黑" w:hAnsi="微软雅黑"/>
          <w:b/>
          <w:color w:val="2E86C1"/>
          <w:sz w:val="26"/>
        </w:rPr>
        <w:t>问题描述</w:t>
      </w:r>
    </w:p>
    <w:p>
      <w:pPr>
        <w:spacing w:before="40" w:after="60"/>
      </w:pPr>
      <w:r>
        <w:rPr>
          <w:rFonts w:eastAsia="微软雅黑"/>
          <w:rFonts w:ascii="微软雅黑" w:hAnsi="微软雅黑"/>
          <w:b w:val="0"/>
          <w:sz w:val="22"/>
        </w:rPr>
        <w:t>营养师通过医护端推送营养干预方案后，用户在客户端：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可在消息中心查看，进入“健康方案”后查看具体内容；可逐条标记完成（如“今日晚餐按食谱A”）。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“咨询健康管理师”入口已显示，但点击无效。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医护端无法同步接收客户的完成进度。</w:t>
      </w:r>
    </w:p>
    <w:p>
      <w:pPr>
        <w:pBdr>
          <w:left w:val="single" w:sz="16" w:space="8" w:color="2E86C1"/>
        </w:pBdr>
        <w:spacing w:before="240" w:after="80"/>
        <w:ind w:left="198"/>
      </w:pPr>
      <w:r>
        <w:rPr>
          <w:rFonts w:eastAsia="微软雅黑"/>
          <w:rFonts w:ascii="微软雅黑" w:hAnsi="微软雅黑"/>
          <w:b/>
          <w:color w:val="2E86C1"/>
          <w:sz w:val="26"/>
        </w:rPr>
        <w:t>优化要求</w:t>
      </w:r>
    </w:p>
    <w:p>
      <w:pPr>
        <w:spacing w:before="160" w:after="40"/>
      </w:pPr>
      <w:r>
        <w:rPr>
          <w:rFonts w:eastAsia="微软雅黑"/>
          <w:rFonts w:ascii="微软雅黑" w:hAnsi="微软雅黑"/>
          <w:b/>
          <w:color w:val="1A5276"/>
          <w:sz w:val="24"/>
        </w:rPr>
        <w:t>4.1　咨询入口修复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用户端“健康方案 → 营养干预方案”详情页中的“咨询健康管理师”按钮需可正常点击。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点击后跳转至</w:t>
      </w:r>
      <w:r>
        <w:rPr>
          <w:rFonts w:eastAsia="微软雅黑"/>
          <w:rFonts w:ascii="微软雅黑" w:hAnsi="微软雅黑"/>
          <w:b/>
          <w:sz w:val="22"/>
        </w:rPr>
        <w:t>服务群组</w:t>
      </w:r>
      <w:r>
        <w:rPr>
          <w:rFonts w:eastAsia="微软雅黑"/>
          <w:rFonts w:ascii="微软雅黑" w:hAnsi="微软雅黑"/>
          <w:b w:val="0"/>
          <w:sz w:val="22"/>
        </w:rPr>
        <w:t>（或 IM 聊天界面），直接与负责该客户的营养师/健管专员沟通。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若未分配对应人员，提示“请联系健管师分配咨询”。</w:t>
      </w:r>
    </w:p>
    <w:p>
      <w:pPr>
        <w:spacing w:before="160" w:after="40"/>
      </w:pPr>
      <w:r>
        <w:rPr>
          <w:rFonts w:eastAsia="微软雅黑"/>
          <w:rFonts w:ascii="微软雅黑" w:hAnsi="微软雅黑"/>
          <w:b/>
          <w:color w:val="1A5276"/>
          <w:sz w:val="24"/>
        </w:rPr>
        <w:t>4.2　任务逐条标记完成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营养干预方案中每个可执行项（如早餐、运动、营养素补充）具备</w:t>
      </w:r>
      <w:r>
        <w:rPr>
          <w:rFonts w:eastAsia="微软雅黑"/>
          <w:rFonts w:ascii="微软雅黑" w:hAnsi="微软雅黑"/>
          <w:b/>
          <w:sz w:val="22"/>
        </w:rPr>
        <w:t>复选框或“完成”按钮</w:t>
      </w:r>
      <w:r>
        <w:rPr>
          <w:rFonts w:eastAsia="微软雅黑"/>
          <w:rFonts w:ascii="微软雅黑" w:hAnsi="微软雅黑"/>
          <w:b w:val="0"/>
          <w:sz w:val="22"/>
        </w:rPr>
        <w:t>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用户点击标记完成后，该任务状态变为“已完成”并同步至医护端。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后端记录完成时间、完成人。</w:t>
      </w:r>
    </w:p>
    <w:p>
      <w:pPr>
        <w:spacing w:before="160" w:after="40"/>
      </w:pPr>
      <w:r>
        <w:rPr>
          <w:rFonts w:eastAsia="微软雅黑"/>
          <w:rFonts w:ascii="微软雅黑" w:hAnsi="微软雅黑"/>
          <w:b/>
          <w:color w:val="1A5276"/>
          <w:sz w:val="24"/>
        </w:rPr>
        <w:t>4.3　医护端同步完成进度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医护端客户详情页中展示营养干预方案的</w:t>
      </w:r>
      <w:r>
        <w:rPr>
          <w:rFonts w:eastAsia="微软雅黑"/>
          <w:rFonts w:ascii="微软雅黑" w:hAnsi="微软雅黑"/>
          <w:b/>
          <w:sz w:val="22"/>
        </w:rPr>
        <w:t>总体完成进度</w:t>
      </w:r>
      <w:r>
        <w:rPr>
          <w:rFonts w:eastAsia="微软雅黑"/>
          <w:rFonts w:ascii="微软雅黑" w:hAnsi="微软雅黑"/>
          <w:b w:val="0"/>
          <w:sz w:val="22"/>
        </w:rPr>
        <w:t>（如“3/5项已完成”）及各子任务完成情况。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医护端可查看每个任务的完成时间和完成状态。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若客户连续未完成某些任务，系统可给出提醒或建议。</w:t>
      </w:r>
    </w:p>
    <w:p>
      <w:pPr>
        <w:spacing w:before="160" w:after="40"/>
      </w:pPr>
      <w:r>
        <w:rPr>
          <w:rFonts w:eastAsia="微软雅黑"/>
          <w:rFonts w:ascii="微软雅黑" w:hAnsi="微软雅黑"/>
          <w:b/>
          <w:color w:val="1A5276"/>
          <w:sz w:val="24"/>
        </w:rPr>
        <w:t>4.4　推送方案后客户端展示优化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营养干预方案推送后，客户端“健康方案”模块</w:t>
      </w:r>
      <w:r>
        <w:rPr>
          <w:rFonts w:eastAsia="微软雅黑"/>
          <w:rFonts w:ascii="微软雅黑" w:hAnsi="微软雅黑"/>
          <w:b/>
          <w:sz w:val="22"/>
        </w:rPr>
        <w:t>立即显示该方案</w:t>
      </w:r>
      <w:r>
        <w:rPr>
          <w:rFonts w:eastAsia="微软雅黑"/>
          <w:rFonts w:ascii="微软雅黑" w:hAnsi="微软雅黑"/>
          <w:b w:val="0"/>
          <w:sz w:val="22"/>
        </w:rPr>
        <w:t>，并有未读/新消息提示。</w:t>
      </w:r>
    </w:p>
    <w:p>
      <w:pPr>
        <w:pStyle w:val="ListBullet"/>
        <w:spacing w:before="40" w:after="80"/>
        <w:ind w:left="425" w:hanging="215"/>
      </w:pPr>
      <w:r>
        <w:rPr>
          <w:rFonts w:eastAsia="微软雅黑"/>
          <w:rFonts w:ascii="微软雅黑" w:hAnsi="微软雅黑"/>
          <w:b w:val="0"/>
          <w:sz w:val="22"/>
        </w:rPr>
        <w:t>方案内容完整展示（隐藏注意事项字段）。</w:t>
      </w:r>
    </w:p>
    <w:sectPr w:rsidR="00FC693F" w:rsidRPr="0006063C" w:rsidSect="00034616">
      <w:pgSz w:w="11906" w:h="16838"/>
      <w:pgMar w:top="1417" w:right="1797" w:bottom="1417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