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7E" w:rsidRDefault="0099217E" w:rsidP="0099217E">
      <w:pPr>
        <w:pStyle w:val="a3"/>
        <w:spacing w:after="156"/>
      </w:pPr>
      <w:r>
        <w:rPr>
          <w:rFonts w:hint="eastAsia"/>
        </w:rPr>
        <w:t>基于机器学习的股价预测模型</w:t>
      </w:r>
    </w:p>
    <w:p w:rsidR="0099217E" w:rsidRDefault="00632A03" w:rsidP="00D32C2F">
      <w:pPr>
        <w:pStyle w:val="a5"/>
        <w:spacing w:after="156"/>
      </w:pPr>
      <w:r>
        <w:rPr>
          <w:rFonts w:hint="eastAsia"/>
        </w:rPr>
        <w:t>第二期报告</w:t>
      </w:r>
    </w:p>
    <w:p w:rsidR="00632A03" w:rsidRPr="003C289A" w:rsidRDefault="00632A03" w:rsidP="00632A03">
      <w:pPr>
        <w:spacing w:after="156"/>
        <w:jc w:val="center"/>
        <w:rPr>
          <w:rFonts w:ascii="Calibri" w:hAnsi="Calibri" w:cs="Calibri"/>
          <w:vertAlign w:val="superscript"/>
        </w:rPr>
      </w:pPr>
      <w:r>
        <w:rPr>
          <w:rFonts w:hint="eastAsia"/>
        </w:rPr>
        <w:t>武明睿</w:t>
      </w:r>
      <w:r>
        <w:rPr>
          <w:vertAlign w:val="superscript"/>
        </w:rPr>
        <w:t>1</w:t>
      </w:r>
      <w:r>
        <w:t xml:space="preserve">, </w:t>
      </w:r>
      <w:r>
        <w:rPr>
          <w:rFonts w:ascii="Calibri" w:hAnsi="Calibri" w:cs="Calibri" w:hint="eastAsia"/>
        </w:rPr>
        <w:t>潘高翔</w:t>
      </w:r>
      <w:r>
        <w:rPr>
          <w:rFonts w:ascii="Calibri" w:hAnsi="Calibri" w:cs="Calibri"/>
          <w:vertAlign w:val="superscript"/>
        </w:rPr>
        <w:t>1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董</w:t>
      </w:r>
      <w:proofErr w:type="gramStart"/>
      <w:r>
        <w:rPr>
          <w:rFonts w:ascii="Calibri" w:hAnsi="Calibri" w:cs="Calibri" w:hint="eastAsia"/>
        </w:rPr>
        <w:t>浩</w:t>
      </w:r>
      <w:proofErr w:type="gramEnd"/>
      <w:r>
        <w:rPr>
          <w:rFonts w:ascii="Calibri" w:hAnsi="Calibri" w:cs="Calibri" w:hint="eastAsia"/>
        </w:rPr>
        <w:t>林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时天行</w:t>
      </w:r>
      <w:r>
        <w:rPr>
          <w:rFonts w:ascii="Calibri" w:hAnsi="Calibri" w:cs="Calibri"/>
          <w:vertAlign w:val="superscript"/>
        </w:rPr>
        <w:t>2</w:t>
      </w:r>
    </w:p>
    <w:p w:rsidR="00632A03" w:rsidRPr="00EB2308" w:rsidRDefault="00632A03" w:rsidP="00632A03">
      <w:pPr>
        <w:spacing w:after="156"/>
        <w:jc w:val="center"/>
        <w:rPr>
          <w:sz w:val="20"/>
        </w:rPr>
      </w:pPr>
      <w:r w:rsidRPr="00EB2308">
        <w:rPr>
          <w:sz w:val="20"/>
        </w:rPr>
        <w:t xml:space="preserve">1 </w:t>
      </w:r>
      <w:r>
        <w:rPr>
          <w:rFonts w:hint="eastAsia"/>
          <w:sz w:val="20"/>
        </w:rPr>
        <w:t>北京大学化学与分子工程学院</w:t>
      </w:r>
    </w:p>
    <w:p w:rsidR="00632A03" w:rsidRDefault="00632A03" w:rsidP="00632A03">
      <w:pPr>
        <w:spacing w:after="156"/>
        <w:jc w:val="center"/>
        <w:rPr>
          <w:sz w:val="20"/>
        </w:rPr>
      </w:pPr>
      <w:r w:rsidRPr="00EB2308">
        <w:rPr>
          <w:sz w:val="20"/>
        </w:rPr>
        <w:t xml:space="preserve">2 </w:t>
      </w:r>
      <w:r>
        <w:rPr>
          <w:rFonts w:hint="eastAsia"/>
          <w:sz w:val="20"/>
        </w:rPr>
        <w:t>清华大学</w:t>
      </w:r>
    </w:p>
    <w:p w:rsidR="00632A03" w:rsidRDefault="00632A03" w:rsidP="00632A03">
      <w:pPr>
        <w:pStyle w:val="1"/>
        <w:spacing w:after="156"/>
      </w:pPr>
      <w:r>
        <w:rPr>
          <w:rFonts w:hint="eastAsia"/>
        </w:rPr>
        <w:t>摘要</w:t>
      </w:r>
    </w:p>
    <w:p w:rsidR="00632A03" w:rsidRDefault="00A75CC6" w:rsidP="00A75CC6">
      <w:pPr>
        <w:spacing w:after="156"/>
        <w:ind w:firstLineChars="200" w:firstLine="420"/>
        <w:rPr>
          <w:rFonts w:hint="eastAsia"/>
        </w:rPr>
      </w:pPr>
      <w:r>
        <w:rPr>
          <w:rFonts w:hint="eastAsia"/>
        </w:rPr>
        <w:t>我们选取</w:t>
      </w:r>
      <w:r>
        <w:rPr>
          <w:rFonts w:hint="eastAsia"/>
        </w:rPr>
        <w:t>AAPL</w:t>
      </w:r>
      <w:r>
        <w:rPr>
          <w:rFonts w:hint="eastAsia"/>
        </w:rPr>
        <w:t>和</w:t>
      </w:r>
      <w:r>
        <w:rPr>
          <w:rFonts w:hint="eastAsia"/>
        </w:rPr>
        <w:t>MSFT</w:t>
      </w:r>
      <w:r>
        <w:rPr>
          <w:rFonts w:hint="eastAsia"/>
        </w:rPr>
        <w:t>数据，完成了</w:t>
      </w:r>
      <w:r>
        <w:rPr>
          <w:rFonts w:hint="eastAsia"/>
        </w:rPr>
        <w:t>LSTM</w:t>
      </w:r>
      <w:r>
        <w:rPr>
          <w:rFonts w:hint="eastAsia"/>
        </w:rPr>
        <w:t>和</w:t>
      </w:r>
      <w:r>
        <w:rPr>
          <w:rFonts w:hint="eastAsia"/>
        </w:rPr>
        <w:t>GRU</w:t>
      </w:r>
      <w:r>
        <w:rPr>
          <w:rFonts w:hint="eastAsia"/>
        </w:rPr>
        <w:t>模型的搭建与训练，并使用两步法优化和</w:t>
      </w:r>
      <w:r>
        <w:rPr>
          <w:rFonts w:hint="eastAsia"/>
        </w:rPr>
        <w:t>TPE</w:t>
      </w:r>
      <w:r>
        <w:rPr>
          <w:rFonts w:hint="eastAsia"/>
        </w:rPr>
        <w:t>算法探索了模型的最优参数，表现最佳的模型在两个数据集上分别达到了</w:t>
      </w:r>
      <w:r>
        <w:rPr>
          <w:rFonts w:hint="eastAsia"/>
        </w:rPr>
        <w:t>MSE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.121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t>.475</w:t>
      </w:r>
      <w:r>
        <w:rPr>
          <w:rFonts w:hint="eastAsia"/>
        </w:rPr>
        <w:t>的结果。</w:t>
      </w:r>
    </w:p>
    <w:p w:rsidR="00632A03" w:rsidRDefault="00632A03" w:rsidP="00632A03">
      <w:pPr>
        <w:pStyle w:val="1"/>
        <w:spacing w:after="156"/>
      </w:pPr>
      <w:r>
        <w:rPr>
          <w:rFonts w:hint="eastAsia"/>
        </w:rPr>
        <w:t>引言</w:t>
      </w:r>
    </w:p>
    <w:p w:rsidR="00632A03" w:rsidRDefault="00632A03" w:rsidP="00A75CC6">
      <w:pPr>
        <w:spacing w:after="156"/>
        <w:ind w:firstLineChars="200" w:firstLine="420"/>
      </w:pPr>
      <w:r>
        <w:rPr>
          <w:rFonts w:hint="eastAsia"/>
        </w:rPr>
        <w:t>RNN</w:t>
      </w:r>
      <w:r>
        <w:t>(Recurrent Neural Net)</w:t>
      </w:r>
      <w:r w:rsidR="004F100C">
        <w:rPr>
          <w:rFonts w:hint="eastAsia"/>
        </w:rPr>
        <w:t>是一类用于处理变长序列的神经网络模型，因其可以识别和处理序列中的自相关性质，</w:t>
      </w:r>
      <w:r w:rsidR="004F100C">
        <w:rPr>
          <w:rFonts w:hint="eastAsia"/>
        </w:rPr>
        <w:t>RNN</w:t>
      </w:r>
      <w:r w:rsidR="004F100C">
        <w:rPr>
          <w:rFonts w:hint="eastAsia"/>
        </w:rPr>
        <w:t>被广泛用于</w:t>
      </w:r>
      <w:r w:rsidR="004F100C">
        <w:rPr>
          <w:rFonts w:hint="eastAsia"/>
        </w:rPr>
        <w:t>NLP</w:t>
      </w:r>
      <w:r w:rsidR="004F100C">
        <w:rPr>
          <w:rFonts w:hint="eastAsia"/>
        </w:rPr>
        <w:t>、时间序列分析等领域。</w:t>
      </w:r>
      <w:r w:rsidR="004F100C">
        <w:rPr>
          <w:rFonts w:hint="eastAsia"/>
        </w:rPr>
        <w:t>RNN</w:t>
      </w:r>
      <w:r w:rsidR="004F100C">
        <w:rPr>
          <w:rFonts w:hint="eastAsia"/>
        </w:rPr>
        <w:t>的里程碑，</w:t>
      </w:r>
      <w:r w:rsidRPr="00632A03">
        <w:t>LSTM (Long Short-Term Memory)</w:t>
      </w:r>
      <w:r>
        <w:rPr>
          <w:rFonts w:hint="eastAsia"/>
        </w:rPr>
        <w:t>由</w:t>
      </w:r>
      <w:proofErr w:type="spellStart"/>
      <w:r w:rsidRPr="00632A03">
        <w:t>Hochreiter</w:t>
      </w:r>
      <w:proofErr w:type="spellEnd"/>
      <w:r>
        <w:rPr>
          <w:rFonts w:hint="eastAsia"/>
        </w:rPr>
        <w:t>和</w:t>
      </w:r>
      <w:proofErr w:type="spellStart"/>
      <w:r w:rsidRPr="00632A03">
        <w:t>Schmidhuber</w:t>
      </w:r>
      <w:proofErr w:type="spellEnd"/>
      <w:r>
        <w:rPr>
          <w:rFonts w:hint="eastAsia"/>
        </w:rPr>
        <w:t>于</w:t>
      </w:r>
      <w:r w:rsidRPr="00632A03">
        <w:t>1997</w:t>
      </w:r>
      <w:r>
        <w:rPr>
          <w:rFonts w:hint="eastAsia"/>
        </w:rPr>
        <w:t>年发明</w:t>
      </w:r>
      <w:r w:rsidR="004F100C">
        <w:rPr>
          <w:rFonts w:hint="eastAsia"/>
        </w:rPr>
        <w:t>。</w:t>
      </w:r>
      <w:r w:rsidR="004F100C">
        <w:rPr>
          <w:rFonts w:hint="eastAsia"/>
        </w:rPr>
        <w:t>LSTM</w:t>
      </w:r>
      <w:r w:rsidR="004F100C">
        <w:rPr>
          <w:rFonts w:hint="eastAsia"/>
        </w:rPr>
        <w:t>具有图</w:t>
      </w:r>
      <w:r w:rsidR="004F100C">
        <w:rPr>
          <w:rFonts w:hint="eastAsia"/>
        </w:rPr>
        <w:t>(</w:t>
      </w:r>
      <w:r w:rsidR="004F100C">
        <w:t>1)</w:t>
      </w:r>
      <w:r w:rsidR="004F100C">
        <w:rPr>
          <w:rFonts w:hint="eastAsia"/>
        </w:rPr>
        <w:t>所示的结构：</w:t>
      </w:r>
    </w:p>
    <w:p w:rsidR="004F100C" w:rsidRDefault="004F100C" w:rsidP="004F100C">
      <w:pPr>
        <w:spacing w:after="156"/>
        <w:jc w:val="center"/>
      </w:pPr>
      <w:r>
        <w:rPr>
          <w:rFonts w:hint="eastAsia"/>
          <w:noProof/>
        </w:rPr>
        <w:drawing>
          <wp:inline distT="0" distB="0" distL="0" distR="0">
            <wp:extent cx="4434840" cy="1668681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108" cy="16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0C" w:rsidRDefault="004F100C" w:rsidP="004F100C">
      <w:pPr>
        <w:spacing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LSTM</w:t>
      </w:r>
      <w:r>
        <w:rPr>
          <w:rFonts w:hint="eastAsia"/>
        </w:rPr>
        <w:t>网络模型</w:t>
      </w:r>
    </w:p>
    <w:p w:rsidR="004F100C" w:rsidRDefault="004F100C" w:rsidP="00A75CC6">
      <w:pPr>
        <w:spacing w:after="156"/>
        <w:ind w:firstLineChars="200" w:firstLine="420"/>
      </w:pPr>
      <w:r>
        <w:rPr>
          <w:rFonts w:hint="eastAsia"/>
        </w:rPr>
        <w:t>LSTM</w:t>
      </w:r>
      <w:r>
        <w:rPr>
          <w:rFonts w:hint="eastAsia"/>
        </w:rPr>
        <w:t>的核心是“细胞状态”</w:t>
      </w:r>
      <w:r w:rsidR="00960587">
        <w:rPr>
          <w:rFonts w:hint="eastAsia"/>
        </w:rPr>
        <w:t>向量</w:t>
      </w:r>
      <w:r>
        <w:rPr>
          <w:rFonts w:hint="eastAsia"/>
        </w:rPr>
        <w:t>，即方框最上方的水平直线。在一次更新中，细胞状态先后经过“遗忘门”、“记忆门”、“输出门”，从而实现</w:t>
      </w:r>
      <w:r w:rsidR="00960587">
        <w:rPr>
          <w:rFonts w:hint="eastAsia"/>
        </w:rPr>
        <w:t>信息的选择性丢弃、更新和输出。相对于传统</w:t>
      </w:r>
      <w:r w:rsidR="00960587">
        <w:rPr>
          <w:rFonts w:hint="eastAsia"/>
        </w:rPr>
        <w:t>RNN</w:t>
      </w:r>
      <w:r w:rsidR="00960587">
        <w:rPr>
          <w:rFonts w:hint="eastAsia"/>
        </w:rPr>
        <w:t>设计，</w:t>
      </w:r>
      <w:r w:rsidR="00960587">
        <w:rPr>
          <w:rFonts w:hint="eastAsia"/>
        </w:rPr>
        <w:t>LSTM</w:t>
      </w:r>
      <w:r w:rsidR="00960587">
        <w:rPr>
          <w:rFonts w:hint="eastAsia"/>
        </w:rPr>
        <w:t>的网络结构十分有利于远期信息留存</w:t>
      </w:r>
      <w:r w:rsidR="00960587">
        <w:rPr>
          <w:rFonts w:hint="eastAsia"/>
        </w:rPr>
        <w:t>(</w:t>
      </w:r>
      <w:r w:rsidR="00960587">
        <w:t>“</w:t>
      </w:r>
      <w:r w:rsidR="00960587">
        <w:rPr>
          <w:rFonts w:hint="eastAsia"/>
        </w:rPr>
        <w:t>长期记忆</w:t>
      </w:r>
      <w:r w:rsidR="00960587">
        <w:t>”)</w:t>
      </w:r>
      <w:r w:rsidR="00960587">
        <w:rPr>
          <w:rFonts w:hint="eastAsia"/>
        </w:rPr>
        <w:t>。</w:t>
      </w:r>
      <w:r w:rsidR="00960587">
        <w:rPr>
          <w:rFonts w:hint="eastAsia"/>
        </w:rPr>
        <w:t>2</w:t>
      </w:r>
      <w:r w:rsidR="00960587">
        <w:t>014</w:t>
      </w:r>
      <w:r w:rsidR="00960587">
        <w:rPr>
          <w:rFonts w:hint="eastAsia"/>
        </w:rPr>
        <w:t>年，</w:t>
      </w:r>
      <w:r w:rsidR="00960587" w:rsidRPr="00960587">
        <w:t>Cho, et al. (2014)</w:t>
      </w:r>
      <w:r w:rsidR="00960587">
        <w:rPr>
          <w:rFonts w:hint="eastAsia"/>
        </w:rPr>
        <w:t>在</w:t>
      </w:r>
      <w:r w:rsidR="00960587">
        <w:rPr>
          <w:rFonts w:hint="eastAsia"/>
        </w:rPr>
        <w:t>LSTM</w:t>
      </w:r>
      <w:r w:rsidR="00960587">
        <w:rPr>
          <w:rFonts w:hint="eastAsia"/>
        </w:rPr>
        <w:t>的基础上发明了</w:t>
      </w:r>
      <w:r w:rsidR="00960587">
        <w:rPr>
          <w:rFonts w:hint="eastAsia"/>
        </w:rPr>
        <w:t>GRU</w:t>
      </w:r>
      <w:r w:rsidR="00960587">
        <w:t>(Gated Recurrent Unit)</w:t>
      </w:r>
      <w:r w:rsidR="00960587">
        <w:rPr>
          <w:rFonts w:hint="eastAsia"/>
        </w:rPr>
        <w:t>(</w:t>
      </w:r>
      <w:r w:rsidR="00960587">
        <w:rPr>
          <w:rFonts w:hint="eastAsia"/>
        </w:rPr>
        <w:t>图</w:t>
      </w:r>
      <w:r w:rsidR="00960587">
        <w:rPr>
          <w:rFonts w:hint="eastAsia"/>
        </w:rPr>
        <w:t>(</w:t>
      </w:r>
      <w:r w:rsidR="00960587">
        <w:t>2))</w:t>
      </w:r>
      <w:r w:rsidR="00960587">
        <w:rPr>
          <w:rFonts w:hint="eastAsia"/>
        </w:rPr>
        <w:t>，</w:t>
      </w:r>
      <w:r w:rsidR="00960587">
        <w:rPr>
          <w:rFonts w:hint="eastAsia"/>
        </w:rPr>
        <w:t>GRU</w:t>
      </w:r>
      <w:r w:rsidR="00960587">
        <w:rPr>
          <w:rFonts w:hint="eastAsia"/>
        </w:rPr>
        <w:t>将</w:t>
      </w:r>
      <w:r w:rsidR="00960587">
        <w:rPr>
          <w:rFonts w:hint="eastAsia"/>
        </w:rPr>
        <w:t>LSTM</w:t>
      </w:r>
      <w:r w:rsidR="00960587">
        <w:rPr>
          <w:rFonts w:hint="eastAsia"/>
        </w:rPr>
        <w:t>的遗忘门和记忆门合并为一个“更新门”，同时合并了细胞状态和隐状态向量。在实际应用中，</w:t>
      </w:r>
      <w:r w:rsidR="00960587">
        <w:rPr>
          <w:rFonts w:hint="eastAsia"/>
        </w:rPr>
        <w:t>GRU</w:t>
      </w:r>
      <w:r w:rsidR="00960587">
        <w:rPr>
          <w:rFonts w:hint="eastAsia"/>
        </w:rPr>
        <w:t>具有更少的参数和更快的训练和收敛速度，同时维持着与</w:t>
      </w:r>
      <w:r w:rsidR="00960587">
        <w:rPr>
          <w:rFonts w:hint="eastAsia"/>
        </w:rPr>
        <w:t>LSTM</w:t>
      </w:r>
      <w:r w:rsidR="00960587">
        <w:rPr>
          <w:rFonts w:hint="eastAsia"/>
        </w:rPr>
        <w:t>相当的性能。</w:t>
      </w:r>
    </w:p>
    <w:p w:rsidR="00960587" w:rsidRDefault="00960587" w:rsidP="00960587">
      <w:pPr>
        <w:spacing w:after="156"/>
        <w:jc w:val="center"/>
      </w:pPr>
      <w:r>
        <w:rPr>
          <w:noProof/>
        </w:rPr>
        <w:lastRenderedPageBreak/>
        <w:drawing>
          <wp:inline distT="0" distB="0" distL="0" distR="0">
            <wp:extent cx="2484120" cy="1630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22"/>
                    <a:stretch/>
                  </pic:blipFill>
                  <pic:spPr bwMode="auto">
                    <a:xfrm>
                      <a:off x="0" y="0"/>
                      <a:ext cx="24841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587" w:rsidRDefault="00960587" w:rsidP="00960587">
      <w:pPr>
        <w:spacing w:after="156"/>
        <w:jc w:val="center"/>
      </w:pPr>
      <w:r>
        <w:rPr>
          <w:rFonts w:hint="eastAsia"/>
        </w:rPr>
        <w:t>图</w:t>
      </w:r>
      <w:r>
        <w:t xml:space="preserve">2  </w:t>
      </w:r>
      <w:r>
        <w:rPr>
          <w:rFonts w:hint="eastAsia"/>
        </w:rPr>
        <w:t>GRU</w:t>
      </w:r>
      <w:r>
        <w:rPr>
          <w:rFonts w:hint="eastAsia"/>
        </w:rPr>
        <w:t>网络模型</w:t>
      </w:r>
    </w:p>
    <w:p w:rsidR="00960587" w:rsidRDefault="00960587" w:rsidP="00A75CC6">
      <w:pPr>
        <w:spacing w:after="156"/>
        <w:ind w:firstLineChars="200" w:firstLine="420"/>
      </w:pPr>
      <w:r>
        <w:rPr>
          <w:rFonts w:hint="eastAsia"/>
        </w:rPr>
        <w:t>我们小组分别搭建了</w:t>
      </w:r>
      <w:r>
        <w:rPr>
          <w:rFonts w:hint="eastAsia"/>
        </w:rPr>
        <w:t>LSTM</w:t>
      </w:r>
      <w:r>
        <w:rPr>
          <w:rFonts w:hint="eastAsia"/>
        </w:rPr>
        <w:t>和</w:t>
      </w:r>
      <w:r>
        <w:rPr>
          <w:rFonts w:hint="eastAsia"/>
        </w:rPr>
        <w:t>GRU</w:t>
      </w:r>
      <w:r>
        <w:rPr>
          <w:rFonts w:hint="eastAsia"/>
        </w:rPr>
        <w:t>模型，并在苹果和微软公司的月度股价数据集上训练和测试</w:t>
      </w:r>
      <w:r w:rsidR="00CD3BFD">
        <w:rPr>
          <w:rFonts w:hint="eastAsia"/>
        </w:rPr>
        <w:t>。</w:t>
      </w:r>
    </w:p>
    <w:p w:rsidR="00CD3BFD" w:rsidRDefault="00CD3BFD" w:rsidP="00CD3BFD">
      <w:pPr>
        <w:pStyle w:val="1"/>
        <w:spacing w:after="156"/>
      </w:pPr>
      <w:r>
        <w:rPr>
          <w:rFonts w:hint="eastAsia"/>
        </w:rPr>
        <w:t>方法</w:t>
      </w:r>
    </w:p>
    <w:p w:rsidR="00CD3BFD" w:rsidRDefault="00CD3BFD" w:rsidP="00CD3BFD">
      <w:pPr>
        <w:pStyle w:val="2"/>
        <w:spacing w:after="156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集选择</w:t>
      </w:r>
      <w:proofErr w:type="gramEnd"/>
      <w:r>
        <w:rPr>
          <w:rFonts w:hint="eastAsia"/>
        </w:rPr>
        <w:t>与预处理</w:t>
      </w:r>
    </w:p>
    <w:p w:rsidR="00CD3BFD" w:rsidRDefault="00CD3BFD" w:rsidP="00A75CC6">
      <w:pPr>
        <w:spacing w:after="156"/>
        <w:ind w:firstLineChars="200" w:firstLine="420"/>
      </w:pPr>
      <w:r>
        <w:rPr>
          <w:rFonts w:hint="eastAsia"/>
        </w:rPr>
        <w:t>我们首先从</w:t>
      </w:r>
      <w:hyperlink r:id="rId7" w:history="1">
        <w:r w:rsidRPr="00F61467">
          <w:rPr>
            <w:rStyle w:val="a7"/>
          </w:rPr>
          <w:t>www.quandl.com</w:t>
        </w:r>
      </w:hyperlink>
      <w:r>
        <w:rPr>
          <w:rFonts w:hint="eastAsia"/>
        </w:rPr>
        <w:t>下载了</w:t>
      </w:r>
      <w:r>
        <w:rPr>
          <w:rFonts w:hint="eastAsia"/>
        </w:rPr>
        <w:t>IBM</w:t>
      </w:r>
      <w:r>
        <w:rPr>
          <w:rFonts w:hint="eastAsia"/>
        </w:rPr>
        <w:t>、</w:t>
      </w:r>
      <w:r>
        <w:rPr>
          <w:rFonts w:hint="eastAsia"/>
        </w:rPr>
        <w:t>INTC</w:t>
      </w:r>
      <w:r>
        <w:rPr>
          <w:rFonts w:hint="eastAsia"/>
        </w:rPr>
        <w:t>、</w:t>
      </w:r>
      <w:r>
        <w:rPr>
          <w:rFonts w:hint="eastAsia"/>
        </w:rPr>
        <w:t>MSFT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SLA</w:t>
      </w:r>
      <w:r>
        <w:rPr>
          <w:rFonts w:hint="eastAsia"/>
        </w:rPr>
        <w:t>和</w:t>
      </w:r>
      <w:r>
        <w:rPr>
          <w:rFonts w:hint="eastAsia"/>
        </w:rPr>
        <w:t>AAPL</w:t>
      </w:r>
      <w:r>
        <w:rPr>
          <w:rFonts w:hint="eastAsia"/>
        </w:rPr>
        <w:t>五个公司自</w:t>
      </w:r>
      <w:r>
        <w:rPr>
          <w:rFonts w:hint="eastAsia"/>
        </w:rPr>
        <w:t>1</w:t>
      </w:r>
      <w:r>
        <w:t>990</w:t>
      </w:r>
      <w:r>
        <w:rPr>
          <w:rFonts w:hint="eastAsia"/>
        </w:rPr>
        <w:t>年至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年的月度股票数据，并进行差分。</w:t>
      </w:r>
      <w:r>
        <w:t>VR Test</w:t>
      </w:r>
      <w:r>
        <w:rPr>
          <w:rFonts w:hint="eastAsia"/>
        </w:rPr>
        <w:t>结果如下：</w:t>
      </w:r>
    </w:p>
    <w:p w:rsidR="000B36D8" w:rsidRDefault="000B36D8" w:rsidP="000B36D8">
      <w:pPr>
        <w:spacing w:after="156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五家公司股价的</w:t>
      </w:r>
      <w:r>
        <w:rPr>
          <w:rFonts w:hint="eastAsia"/>
        </w:rPr>
        <w:t>VR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结果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3BFD" w:rsidTr="00CD3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12" w:space="0" w:color="auto"/>
              <w:bottom w:val="single" w:sz="4" w:space="0" w:color="auto"/>
            </w:tcBorders>
          </w:tcPr>
          <w:p w:rsidR="00CD3BFD" w:rsidRDefault="00CD3BFD" w:rsidP="00CD3BFD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4" w:space="0" w:color="auto"/>
            </w:tcBorders>
          </w:tcPr>
          <w:p w:rsidR="00CD3BFD" w:rsidRDefault="00CD3BFD" w:rsidP="00CD3BFD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 value</w:t>
            </w:r>
          </w:p>
        </w:tc>
      </w:tr>
      <w:tr w:rsidR="00CD3BFD" w:rsidTr="00C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auto"/>
            </w:tcBorders>
          </w:tcPr>
          <w:p w:rsidR="00CD3BFD" w:rsidRDefault="00CD3BFD" w:rsidP="00CD3BFD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BM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CD3BFD" w:rsidRDefault="00CD3BFD" w:rsidP="00CD3BFD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</w:tr>
      <w:tr w:rsidR="00CD3BFD" w:rsidTr="00CD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3BFD" w:rsidRDefault="00CD3BFD" w:rsidP="00CD3BFD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NTC</w:t>
            </w:r>
          </w:p>
        </w:tc>
        <w:tc>
          <w:tcPr>
            <w:tcW w:w="4148" w:type="dxa"/>
          </w:tcPr>
          <w:p w:rsidR="00CD3BFD" w:rsidRDefault="00CD3BFD" w:rsidP="00CD3BFD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.43</w:t>
            </w:r>
          </w:p>
        </w:tc>
      </w:tr>
      <w:tr w:rsidR="00CD3BFD" w:rsidTr="00C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3BFD" w:rsidRDefault="00CD3BFD" w:rsidP="00CD3BFD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SFT</w:t>
            </w:r>
          </w:p>
        </w:tc>
        <w:tc>
          <w:tcPr>
            <w:tcW w:w="4148" w:type="dxa"/>
          </w:tcPr>
          <w:p w:rsidR="00CD3BFD" w:rsidRDefault="00CD3BFD" w:rsidP="00CD3BFD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.19</w:t>
            </w:r>
          </w:p>
        </w:tc>
      </w:tr>
      <w:tr w:rsidR="00CD3BFD" w:rsidTr="00CD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3BFD" w:rsidRDefault="00CD3BFD" w:rsidP="00CD3BFD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SLA</w:t>
            </w:r>
          </w:p>
        </w:tc>
        <w:tc>
          <w:tcPr>
            <w:tcW w:w="4148" w:type="dxa"/>
          </w:tcPr>
          <w:p w:rsidR="00CD3BFD" w:rsidRDefault="00CD3BFD" w:rsidP="00CD3BFD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</w:tr>
      <w:tr w:rsidR="00CD3BFD" w:rsidTr="00C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bottom w:val="single" w:sz="12" w:space="0" w:color="auto"/>
            </w:tcBorders>
          </w:tcPr>
          <w:p w:rsidR="00CD3BFD" w:rsidRDefault="00CD3BFD" w:rsidP="00CD3BFD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APL</w:t>
            </w:r>
          </w:p>
        </w:tc>
        <w:tc>
          <w:tcPr>
            <w:tcW w:w="4148" w:type="dxa"/>
            <w:tcBorders>
              <w:bottom w:val="single" w:sz="12" w:space="0" w:color="auto"/>
            </w:tcBorders>
          </w:tcPr>
          <w:p w:rsidR="00CD3BFD" w:rsidRDefault="00CD3BFD" w:rsidP="00CD3BFD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</w:tr>
    </w:tbl>
    <w:p w:rsidR="00CD3BFD" w:rsidRDefault="00CD3BFD" w:rsidP="00A75CC6">
      <w:pPr>
        <w:spacing w:after="156"/>
        <w:ind w:firstLineChars="200" w:firstLine="420"/>
      </w:pPr>
      <w:r>
        <w:rPr>
          <w:rFonts w:hint="eastAsia"/>
        </w:rPr>
        <w:t>可见五支股票</w:t>
      </w:r>
      <w:r w:rsidR="00E200C2">
        <w:rPr>
          <w:rFonts w:hint="eastAsia"/>
        </w:rPr>
        <w:t>的价格都没能在</w:t>
      </w:r>
      <w:r w:rsidR="00E200C2">
        <w:rPr>
          <w:rFonts w:hint="eastAsia"/>
        </w:rPr>
        <w:t>5</w:t>
      </w:r>
      <w:r w:rsidR="00E200C2">
        <w:t>%</w:t>
      </w:r>
      <w:r w:rsidR="00E200C2">
        <w:rPr>
          <w:rFonts w:hint="eastAsia"/>
        </w:rPr>
        <w:t>的显著水平上推翻原假设。为了尽可能保证可预测性，我们选取了</w:t>
      </w:r>
      <w:r w:rsidR="00E200C2">
        <w:rPr>
          <w:rFonts w:hint="eastAsia"/>
        </w:rPr>
        <w:t>p</w:t>
      </w:r>
      <w:r w:rsidR="00E200C2">
        <w:t xml:space="preserve"> value</w:t>
      </w:r>
      <w:r w:rsidR="00E200C2">
        <w:rPr>
          <w:rFonts w:hint="eastAsia"/>
        </w:rPr>
        <w:t>最小的两支股票——</w:t>
      </w:r>
      <w:r w:rsidR="00E200C2">
        <w:rPr>
          <w:rFonts w:hint="eastAsia"/>
        </w:rPr>
        <w:t>AAPL</w:t>
      </w:r>
      <w:r w:rsidR="00E200C2">
        <w:rPr>
          <w:rFonts w:hint="eastAsia"/>
        </w:rPr>
        <w:t>和</w:t>
      </w:r>
      <w:r w:rsidR="00E200C2">
        <w:rPr>
          <w:rFonts w:hint="eastAsia"/>
        </w:rPr>
        <w:t>MSFT</w:t>
      </w:r>
      <w:r w:rsidR="00E200C2">
        <w:rPr>
          <w:rFonts w:hint="eastAsia"/>
        </w:rPr>
        <w:t>进行分析。</w:t>
      </w:r>
    </w:p>
    <w:p w:rsidR="00E200C2" w:rsidRDefault="00E200C2" w:rsidP="00A75CC6">
      <w:pPr>
        <w:spacing w:after="156"/>
        <w:ind w:firstLineChars="200" w:firstLine="420"/>
      </w:pPr>
      <w:r>
        <w:rPr>
          <w:rFonts w:hint="eastAsia"/>
        </w:rPr>
        <w:t>我们首先将两支股票数据的后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作为测试集，用于评估模型表现。训练集数据归一化为标准正态分布，随后依序截取长度为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loo</m:t>
        </m:r>
        <m:r>
          <w:rPr>
            <w:rFonts w:ascii="Cambria Math" w:hAnsi="Cambria Math"/>
          </w:rPr>
          <m:t>k_back</m:t>
        </m:r>
        <m:r>
          <w:rPr>
            <w:rFonts w:ascii="Cambria Math" w:hAnsi="Cambria Math"/>
          </w:rPr>
          <m:t>+1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的短序列训练集，短序列最后一个数据作为标签，之前的数据作为训练输入。将训练集打乱后，从中随机抽取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作为验证</w:t>
      </w:r>
      <w:proofErr w:type="gramStart"/>
      <w:r>
        <w:rPr>
          <w:rFonts w:hint="eastAsia"/>
        </w:rPr>
        <w:t>集用于</w:t>
      </w:r>
      <w:proofErr w:type="gramEnd"/>
      <w:r>
        <w:rPr>
          <w:rFonts w:hint="eastAsia"/>
        </w:rPr>
        <w:t>超参数调节参照。</w:t>
      </w:r>
    </w:p>
    <w:p w:rsidR="00E200C2" w:rsidRDefault="00E200C2" w:rsidP="00E200C2">
      <w:pPr>
        <w:pStyle w:val="2"/>
        <w:spacing w:after="156"/>
      </w:pPr>
      <w:r>
        <w:rPr>
          <w:rFonts w:hint="eastAsia"/>
        </w:rPr>
        <w:t>模型</w:t>
      </w:r>
      <w:r w:rsidR="00952D80">
        <w:rPr>
          <w:rFonts w:hint="eastAsia"/>
        </w:rPr>
        <w:t>搭建与</w:t>
      </w:r>
      <w:r>
        <w:rPr>
          <w:rFonts w:hint="eastAsia"/>
        </w:rPr>
        <w:t>训练</w:t>
      </w:r>
    </w:p>
    <w:p w:rsidR="00952D80" w:rsidRPr="00952D80" w:rsidRDefault="00952D80" w:rsidP="00A75CC6">
      <w:pPr>
        <w:spacing w:after="156"/>
        <w:ind w:firstLineChars="200" w:firstLine="420"/>
        <w:rPr>
          <w:rFonts w:hint="eastAsia"/>
          <w:i/>
        </w:rPr>
      </w:pPr>
      <w:r>
        <w:rPr>
          <w:rFonts w:hint="eastAsia"/>
        </w:rPr>
        <w:t>网络模型由</w:t>
      </w:r>
      <w:r>
        <w:rPr>
          <w:rFonts w:hint="eastAsia"/>
        </w:rPr>
        <w:t>RNN</w:t>
      </w:r>
      <w:r>
        <w:rPr>
          <w:rFonts w:hint="eastAsia"/>
        </w:rPr>
        <w:t>单元和一个线性变换组成。</w:t>
      </w:r>
      <m:oMath>
        <m:r>
          <w:rPr>
            <w:rFonts w:ascii="Cambria Math" w:hAnsi="Cambria Math" w:hint="eastAsia"/>
          </w:rPr>
          <m:t>loo</m:t>
        </m:r>
        <m:r>
          <w:rPr>
            <w:rFonts w:ascii="Cambria Math" w:hAnsi="Cambria Math"/>
          </w:rPr>
          <m:t>k_back</m:t>
        </m:r>
      </m:oMath>
      <w:r>
        <w:rPr>
          <w:rFonts w:hint="eastAsia"/>
        </w:rPr>
        <w:t xml:space="preserve"> </w:t>
      </w:r>
      <w:r>
        <w:rPr>
          <w:rFonts w:hint="eastAsia"/>
        </w:rPr>
        <w:t>期的数据依次输入</w:t>
      </w:r>
      <w:r>
        <w:rPr>
          <w:rFonts w:hint="eastAsia"/>
        </w:rPr>
        <w:t>RNN</w:t>
      </w:r>
      <w:r>
        <w:rPr>
          <w:rFonts w:hint="eastAsia"/>
        </w:rPr>
        <w:t>单元，</w:t>
      </w:r>
      <w:r>
        <w:rPr>
          <w:rFonts w:hint="eastAsia"/>
        </w:rPr>
        <w:lastRenderedPageBreak/>
        <w:t>随后经过一个线性全连接层，得到一维标量输出作为下一期的预测</w:t>
      </w:r>
      <w:r w:rsidR="006C3307">
        <w:rPr>
          <w:rFonts w:hint="eastAsia"/>
        </w:rPr>
        <w:t>。</w:t>
      </w:r>
      <w:r w:rsidR="006C3307">
        <w:rPr>
          <w:rFonts w:hint="eastAsia"/>
        </w:rPr>
        <w:t>LSTM</w:t>
      </w:r>
      <w:r w:rsidR="006C3307">
        <w:rPr>
          <w:rFonts w:hint="eastAsia"/>
        </w:rPr>
        <w:t>模型与</w:t>
      </w:r>
      <w:r w:rsidR="006C3307">
        <w:rPr>
          <w:rFonts w:hint="eastAsia"/>
        </w:rPr>
        <w:t>GRU</w:t>
      </w:r>
      <w:r w:rsidR="006C3307">
        <w:rPr>
          <w:rFonts w:hint="eastAsia"/>
        </w:rPr>
        <w:t>模型的输入输出形式基本一致，必要的参数分别为</w:t>
      </w:r>
      <w:proofErr w:type="gramStart"/>
      <w:r w:rsidR="006C3307">
        <w:rPr>
          <w:rFonts w:hint="eastAsia"/>
        </w:rPr>
        <w:t>隐状态维</w:t>
      </w:r>
      <w:proofErr w:type="gramEnd"/>
      <w:r w:rsidR="006C3307">
        <w:rPr>
          <w:rFonts w:hint="eastAsia"/>
        </w:rPr>
        <w:t>度</w:t>
      </w:r>
      <w:r w:rsidR="006C330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>hidden_dim</m:t>
        </m:r>
      </m:oMath>
      <w:r w:rsidR="006C3307">
        <w:rPr>
          <w:rFonts w:hint="eastAsia"/>
        </w:rPr>
        <w:t xml:space="preserve"> </w:t>
      </w:r>
      <w:r w:rsidR="006C3307">
        <w:rPr>
          <w:rFonts w:hint="eastAsia"/>
        </w:rPr>
        <w:t>和网络层数</w:t>
      </w:r>
      <w:r w:rsidR="006C330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num_layers</m:t>
        </m:r>
      </m:oMath>
      <w:r w:rsidR="006C3307">
        <w:rPr>
          <w:rFonts w:hint="eastAsia"/>
        </w:rPr>
        <w:t>。</w:t>
      </w:r>
    </w:p>
    <w:p w:rsidR="00E200C2" w:rsidRDefault="00E200C2" w:rsidP="00A75CC6">
      <w:pPr>
        <w:spacing w:after="156"/>
        <w:ind w:firstLineChars="200" w:firstLine="420"/>
      </w:pPr>
      <w:r>
        <w:rPr>
          <w:rFonts w:hint="eastAsia"/>
        </w:rPr>
        <w:t>使用自助法</w:t>
      </w:r>
      <w:r w:rsidR="00466996">
        <w:rPr>
          <w:rFonts w:hint="eastAsia"/>
        </w:rPr>
        <w:t>在训练集上</w:t>
      </w:r>
      <w:r>
        <w:rPr>
          <w:rFonts w:hint="eastAsia"/>
        </w:rPr>
        <w:t>采样，单步训练样本大小为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batch_size</m:t>
        </m:r>
      </m:oMath>
      <w:r w:rsidR="00466996">
        <w:rPr>
          <w:rFonts w:hint="eastAsia"/>
        </w:rPr>
        <w:t>，</w:t>
      </w:r>
      <w:proofErr w:type="gramStart"/>
      <w:r w:rsidR="00466996">
        <w:rPr>
          <w:rFonts w:hint="eastAsia"/>
        </w:rPr>
        <w:t>共训练</w:t>
      </w:r>
      <w:proofErr w:type="gramEnd"/>
      <w:r w:rsidR="0046699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epochs</m:t>
        </m:r>
      </m:oMath>
      <w:r w:rsidR="00466996">
        <w:rPr>
          <w:rFonts w:hint="eastAsia"/>
        </w:rPr>
        <w:t xml:space="preserve"> </w:t>
      </w:r>
      <w:r w:rsidR="00466996">
        <w:rPr>
          <w:rFonts w:hint="eastAsia"/>
        </w:rPr>
        <w:t>轮，观察是否收敛。训练中使用</w:t>
      </w:r>
      <w:r w:rsidR="00466996">
        <w:rPr>
          <w:rFonts w:hint="eastAsia"/>
        </w:rPr>
        <w:t>A</w:t>
      </w:r>
      <w:r w:rsidR="00466996">
        <w:t>dam</w:t>
      </w:r>
      <w:r w:rsidR="00466996">
        <w:rPr>
          <w:rFonts w:hint="eastAsia"/>
        </w:rPr>
        <w:t>优化算法，学习率为</w:t>
      </w:r>
      <w:r w:rsidR="00466996">
        <w:t xml:space="preserve"> </w:t>
      </w:r>
      <m:oMath>
        <m:r>
          <w:rPr>
            <w:rFonts w:ascii="Cambria Math" w:hAnsi="Cambria Math"/>
          </w:rPr>
          <m:t>lr</m:t>
        </m:r>
      </m:oMath>
      <w:r w:rsidR="00952D80">
        <w:rPr>
          <w:rFonts w:hint="eastAsia"/>
        </w:rPr>
        <w:t>，优化目标为最小化</w:t>
      </w:r>
      <w:r w:rsidR="00952D80">
        <w:rPr>
          <w:rFonts w:hint="eastAsia"/>
        </w:rPr>
        <w:t>MSE</w:t>
      </w:r>
      <w:r w:rsidR="00952D80">
        <w:t>(</w:t>
      </w:r>
      <w:r w:rsidR="00952D80">
        <w:rPr>
          <w:rFonts w:hint="eastAsia"/>
        </w:rPr>
        <w:t>M</w:t>
      </w:r>
      <w:r w:rsidR="00952D80">
        <w:t>ean Square Error)</w:t>
      </w:r>
      <w:r w:rsidR="00466996">
        <w:rPr>
          <w:rFonts w:hint="eastAsia"/>
        </w:rPr>
        <w:t>。</w:t>
      </w:r>
      <w:r w:rsidR="000B36D8">
        <w:rPr>
          <w:rFonts w:hint="eastAsia"/>
        </w:rPr>
        <w:t>在</w:t>
      </w:r>
      <w:r w:rsidR="000B36D8">
        <w:rPr>
          <w:rFonts w:hint="eastAsia"/>
        </w:rPr>
        <w:t>AAPL</w:t>
      </w:r>
      <w:r w:rsidR="000B36D8">
        <w:rPr>
          <w:rFonts w:hint="eastAsia"/>
        </w:rPr>
        <w:t>数据集上初步训练曲线如图</w:t>
      </w:r>
      <w:r w:rsidR="000B36D8">
        <w:rPr>
          <w:rFonts w:hint="eastAsia"/>
        </w:rPr>
        <w:t>3</w:t>
      </w:r>
      <w:r w:rsidR="000B36D8">
        <w:rPr>
          <w:rFonts w:hint="eastAsia"/>
        </w:rPr>
        <w:t>所示。</w:t>
      </w:r>
    </w:p>
    <w:p w:rsidR="000B36D8" w:rsidRDefault="000B36D8" w:rsidP="000B36D8">
      <w:pPr>
        <w:spacing w:after="156"/>
        <w:jc w:val="center"/>
      </w:pPr>
      <w:r w:rsidRPr="000B36D8">
        <w:drawing>
          <wp:inline distT="0" distB="0" distL="0" distR="0" wp14:anchorId="3DE0B285" wp14:editId="702D7440">
            <wp:extent cx="3776193" cy="252000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19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80" w:rsidRDefault="00952D80" w:rsidP="00952D80">
      <w:pPr>
        <w:spacing w:after="156"/>
        <w:jc w:val="center"/>
      </w:pPr>
      <w:r>
        <w:rPr>
          <w:rFonts w:hint="eastAsia"/>
        </w:rPr>
        <w:t>图</w:t>
      </w:r>
      <w:r>
        <w:t xml:space="preserve">3  </w:t>
      </w:r>
      <w:r>
        <w:rPr>
          <w:rFonts w:hint="eastAsia"/>
        </w:rPr>
        <w:t>训练轮数—</w:t>
      </w:r>
      <w:r>
        <w:rPr>
          <w:rFonts w:hint="eastAsia"/>
        </w:rPr>
        <w:t>MSE</w:t>
      </w:r>
      <w:r>
        <w:rPr>
          <w:rFonts w:hint="eastAsia"/>
        </w:rPr>
        <w:t>得分曲线</w:t>
      </w:r>
      <w:r w:rsidR="006C3307">
        <w:rPr>
          <w:rFonts w:hint="eastAsia"/>
        </w:rPr>
        <w:t>。训练用时</w:t>
      </w:r>
      <w:r w:rsidR="006C3307">
        <w:rPr>
          <w:rFonts w:hint="eastAsia"/>
        </w:rPr>
        <w:t>2</w:t>
      </w:r>
      <w:r w:rsidR="006C3307">
        <w:t xml:space="preserve">.3 </w:t>
      </w:r>
      <w:r w:rsidR="006C3307">
        <w:rPr>
          <w:rFonts w:hint="eastAsia"/>
        </w:rPr>
        <w:t>s</w:t>
      </w:r>
      <w:r w:rsidR="006C3307">
        <w:t xml:space="preserve"> (NVIDA TESLA </w:t>
      </w:r>
      <w:r w:rsidR="006C3307" w:rsidRPr="006C3307">
        <w:t>V100GPU</w:t>
      </w:r>
      <w:r w:rsidR="006C3307">
        <w:t>)</w:t>
      </w:r>
    </w:p>
    <w:p w:rsidR="00952D80" w:rsidRPr="00952D80" w:rsidRDefault="00952D80" w:rsidP="00952D80">
      <w:pPr>
        <w:spacing w:after="156"/>
        <w:jc w:val="center"/>
      </w:pPr>
      <m:oMathPara>
        <m:oMath>
          <m:r>
            <w:rPr>
              <w:rFonts w:ascii="Cambria Math" w:hAnsi="Cambria Math"/>
            </w:rPr>
            <m:t>look_back=24</m:t>
          </m:r>
        </m:oMath>
      </m:oMathPara>
    </w:p>
    <w:p w:rsidR="00952D80" w:rsidRPr="006C3307" w:rsidRDefault="00952D80" w:rsidP="00952D80">
      <w:pPr>
        <w:spacing w:after="156"/>
        <w:jc w:val="center"/>
      </w:pPr>
      <m:oMathPara>
        <m:oMath>
          <m:r>
            <w:rPr>
              <w:rFonts w:ascii="Cambria Math" w:hAnsi="Cambria Math"/>
            </w:rPr>
            <m:t>num_layers=3</m:t>
          </m:r>
        </m:oMath>
      </m:oMathPara>
    </w:p>
    <w:p w:rsidR="006C3307" w:rsidRPr="006C3307" w:rsidRDefault="006C3307" w:rsidP="00952D80">
      <w:pPr>
        <w:spacing w:after="156"/>
        <w:jc w:val="center"/>
      </w:pPr>
      <m:oMathPara>
        <m:oMath>
          <m:r>
            <w:rPr>
              <w:rFonts w:ascii="Cambria Math" w:hAnsi="Cambria Math"/>
            </w:rPr>
            <m:t>hidden_dim =40</m:t>
          </m:r>
        </m:oMath>
      </m:oMathPara>
    </w:p>
    <w:p w:rsidR="006C3307" w:rsidRPr="006C3307" w:rsidRDefault="006C3307" w:rsidP="00952D80">
      <w:pPr>
        <w:spacing w:after="156"/>
        <w:jc w:val="center"/>
      </w:pPr>
      <m:oMathPara>
        <m:oMath>
          <m:r>
            <w:rPr>
              <w:rFonts w:ascii="Cambria Math" w:hAnsi="Cambria Math"/>
            </w:rPr>
            <m:t>batch_size=120</m:t>
          </m:r>
        </m:oMath>
      </m:oMathPara>
    </w:p>
    <w:p w:rsidR="006C3307" w:rsidRPr="006C3307" w:rsidRDefault="006C3307" w:rsidP="00952D80">
      <w:pPr>
        <w:spacing w:after="156"/>
        <w:jc w:val="center"/>
      </w:pPr>
      <m:oMathPara>
        <m:oMath>
          <m:r>
            <w:rPr>
              <w:rFonts w:ascii="Cambria Math" w:hAnsi="Cambria Math"/>
            </w:rPr>
            <m:t>epochs=500</m:t>
          </m:r>
        </m:oMath>
      </m:oMathPara>
    </w:p>
    <w:p w:rsidR="006C3307" w:rsidRDefault="006C3307" w:rsidP="00952D80">
      <w:pPr>
        <w:spacing w:after="156"/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lr=0.002</m:t>
          </m:r>
        </m:oMath>
      </m:oMathPara>
    </w:p>
    <w:p w:rsidR="00952D80" w:rsidRDefault="006C3307" w:rsidP="00A75CC6">
      <w:pPr>
        <w:spacing w:after="156"/>
        <w:ind w:firstLineChars="200" w:firstLine="420"/>
      </w:pPr>
      <w:r>
        <w:rPr>
          <w:rFonts w:hint="eastAsia"/>
        </w:rPr>
        <w:t>MSE</w:t>
      </w:r>
      <w:r>
        <w:rPr>
          <w:rFonts w:hint="eastAsia"/>
        </w:rPr>
        <w:t>在训练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轮后收敛于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附近。</w:t>
      </w:r>
    </w:p>
    <w:p w:rsidR="006C3307" w:rsidRDefault="006C3307" w:rsidP="006C3307">
      <w:pPr>
        <w:pStyle w:val="2"/>
        <w:spacing w:after="156"/>
      </w:pPr>
      <w:r>
        <w:rPr>
          <w:rFonts w:hint="eastAsia"/>
        </w:rPr>
        <w:t>超参数优化</w:t>
      </w:r>
    </w:p>
    <w:p w:rsidR="00F06DA7" w:rsidRDefault="00761103" w:rsidP="00A75CC6">
      <w:pPr>
        <w:spacing w:after="156"/>
        <w:ind w:firstLineChars="200" w:firstLine="420"/>
        <w:rPr>
          <w:rFonts w:hint="eastAsia"/>
        </w:rPr>
      </w:pPr>
      <w:r>
        <w:rPr>
          <w:rFonts w:hint="eastAsia"/>
        </w:rPr>
        <w:t>如图</w:t>
      </w:r>
      <w:r>
        <w:t>3</w:t>
      </w:r>
      <w:r>
        <w:rPr>
          <w:rFonts w:hint="eastAsia"/>
        </w:rPr>
        <w:t>标注，模型需要优化的参数共有</w:t>
      </w:r>
      <w:r>
        <w:rPr>
          <w:rFonts w:hint="eastAsia"/>
        </w:rPr>
        <w:t>6</w:t>
      </w:r>
      <w:r>
        <w:rPr>
          <w:rFonts w:hint="eastAsia"/>
        </w:rPr>
        <w:t>个。</w:t>
      </w:r>
      <w:r w:rsidR="00F06DA7">
        <w:rPr>
          <w:rFonts w:hint="eastAsia"/>
        </w:rPr>
        <w:t>超参数优化的目标为最小化验证集上的</w:t>
      </w:r>
      <w:r w:rsidR="00F06DA7">
        <w:rPr>
          <w:rFonts w:hint="eastAsia"/>
        </w:rPr>
        <w:t>MSE</w:t>
      </w:r>
      <w:r w:rsidR="00F06DA7">
        <w:rPr>
          <w:rFonts w:hint="eastAsia"/>
        </w:rPr>
        <w:t>。</w:t>
      </w:r>
      <w:r w:rsidR="00433C1F">
        <w:rPr>
          <w:rFonts w:hint="eastAsia"/>
        </w:rPr>
        <w:t>由于训练中模型表现波动大，我们在训练的最后</w:t>
      </w:r>
      <w:r w:rsidR="00433C1F">
        <w:rPr>
          <w:rFonts w:hint="eastAsia"/>
        </w:rPr>
        <w:t>1</w:t>
      </w:r>
      <w:r w:rsidR="00433C1F">
        <w:t>0</w:t>
      </w:r>
      <w:r w:rsidR="00433C1F">
        <w:rPr>
          <w:rFonts w:hint="eastAsia"/>
        </w:rPr>
        <w:t>轮进行了</w:t>
      </w:r>
      <w:r w:rsidR="00433C1F">
        <w:rPr>
          <w:rFonts w:hint="eastAsia"/>
        </w:rPr>
        <w:t>1</w:t>
      </w:r>
      <w:r w:rsidR="00433C1F">
        <w:t>0</w:t>
      </w:r>
      <w:r w:rsidR="00433C1F">
        <w:rPr>
          <w:rFonts w:hint="eastAsia"/>
        </w:rPr>
        <w:t>次评估，取均值以减小表现波动的影响。</w:t>
      </w:r>
    </w:p>
    <w:p w:rsidR="00DC1700" w:rsidRDefault="00761103" w:rsidP="00A75CC6">
      <w:pPr>
        <w:spacing w:after="156"/>
        <w:ind w:firstLineChars="200" w:firstLine="420"/>
        <w:rPr>
          <w:rFonts w:hint="eastAsia"/>
        </w:rPr>
      </w:pPr>
      <w:r>
        <w:rPr>
          <w:rFonts w:hint="eastAsia"/>
        </w:rPr>
        <w:t>若采用随机搜索算法，探索空间过于庞大且效率低下。为缩小搜索空间，我们假设在训练收敛的情况下，模型参数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>look_back, num_layers, hidden_dim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与训练参数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batch_size, epochs, lr)</m:t>
        </m:r>
      </m:oMath>
      <w:r w:rsidR="00F06DA7">
        <w:rPr>
          <w:rFonts w:hint="eastAsia"/>
        </w:rPr>
        <w:t>对模型表现的影响相互独立，因此我们可以通过两步法优化得到最优参数。第一步，根据初步训练判断，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batch_size=120, epochs=400, lr=0.002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06DA7">
        <w:rPr>
          <w:rFonts w:hint="eastAsia"/>
        </w:rPr>
        <w:t>的情况下基本可以达到收敛，因此固定训练参数，对模型参数进搜索；第二步，</w:t>
      </w:r>
      <w:proofErr w:type="gramStart"/>
      <w:r w:rsidR="00F06DA7">
        <w:rPr>
          <w:rFonts w:hint="eastAsia"/>
        </w:rPr>
        <w:t>取表现</w:t>
      </w:r>
      <w:proofErr w:type="gramEnd"/>
      <w:r w:rsidR="00F06DA7">
        <w:rPr>
          <w:rFonts w:hint="eastAsia"/>
        </w:rPr>
        <w:t>最佳的模型</w:t>
      </w:r>
      <w:r w:rsidR="00F06DA7">
        <w:rPr>
          <w:rFonts w:hint="eastAsia"/>
        </w:rPr>
        <w:lastRenderedPageBreak/>
        <w:t>参数，对训练参数进行搜索。采用</w:t>
      </w:r>
      <w:r w:rsidR="00F06DA7" w:rsidRPr="00F06DA7">
        <w:t xml:space="preserve">Tree of </w:t>
      </w:r>
      <w:proofErr w:type="spellStart"/>
      <w:r w:rsidR="00F06DA7" w:rsidRPr="00F06DA7">
        <w:t>Parzen</w:t>
      </w:r>
      <w:proofErr w:type="spellEnd"/>
      <w:r w:rsidR="00F06DA7" w:rsidRPr="00F06DA7">
        <w:t xml:space="preserve"> Estimators (TPE)</w:t>
      </w:r>
      <w:r w:rsidR="00F06DA7">
        <w:t xml:space="preserve"> </w:t>
      </w:r>
      <w:r w:rsidR="00F06DA7">
        <w:rPr>
          <w:rFonts w:hint="eastAsia"/>
        </w:rPr>
        <w:t>黑盒优化算法进一步提高探索效率。</w:t>
      </w:r>
      <w:r w:rsidR="00DC1700">
        <w:rPr>
          <w:rFonts w:hint="eastAsia"/>
        </w:rPr>
        <w:t>优化参数与验证集表现见图</w:t>
      </w:r>
      <w:r w:rsidR="00DC1700">
        <w:rPr>
          <w:rFonts w:hint="eastAsia"/>
        </w:rPr>
        <w:t>4</w:t>
      </w:r>
      <w:r w:rsidR="00DC1700">
        <w:rPr>
          <w:rFonts w:hint="eastAsia"/>
        </w:rPr>
        <w:t>。</w:t>
      </w:r>
    </w:p>
    <w:p w:rsidR="00DC1700" w:rsidRPr="00DC1700" w:rsidRDefault="00DC1700" w:rsidP="00A75CC6">
      <w:pPr>
        <w:spacing w:after="156"/>
        <w:ind w:firstLineChars="200" w:firstLine="420"/>
      </w:pPr>
      <w:r>
        <w:rPr>
          <w:rFonts w:hint="eastAsia"/>
        </w:rPr>
        <w:t>所有最优</w:t>
      </w:r>
      <w:r>
        <w:rPr>
          <w:rFonts w:hint="eastAsia"/>
        </w:rPr>
        <w:t>MSE</w:t>
      </w:r>
      <w:r>
        <w:rPr>
          <w:rFonts w:hint="eastAsia"/>
        </w:rPr>
        <w:t>均小于</w:t>
      </w:r>
      <w:r>
        <w:rPr>
          <w:rFonts w:hint="eastAsia"/>
        </w:rPr>
        <w:t>1</w:t>
      </w:r>
      <w:r>
        <w:rPr>
          <w:rFonts w:hint="eastAsia"/>
        </w:rPr>
        <w:t>，低于数据方差</w:t>
      </w:r>
      <w:r>
        <w:rPr>
          <w:rFonts w:hint="eastAsia"/>
        </w:rPr>
        <w:t>(</w:t>
      </w:r>
      <w:r>
        <w:rPr>
          <w:rFonts w:hint="eastAsia"/>
        </w:rPr>
        <w:t>数据经过归一化，方差为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。</w:t>
      </w:r>
      <w:r w:rsidR="00433C1F">
        <w:rPr>
          <w:rFonts w:hint="eastAsia"/>
        </w:rPr>
        <w:t>G</w:t>
      </w:r>
      <w:r w:rsidR="00433C1F">
        <w:t>RU</w:t>
      </w:r>
      <w:r w:rsidR="00433C1F">
        <w:rPr>
          <w:rFonts w:hint="eastAsia"/>
        </w:rPr>
        <w:t>与</w:t>
      </w:r>
      <w:r w:rsidR="00433C1F">
        <w:rPr>
          <w:rFonts w:hint="eastAsia"/>
        </w:rPr>
        <w:t>LSTM</w:t>
      </w:r>
      <w:r w:rsidR="00433C1F">
        <w:rPr>
          <w:rFonts w:hint="eastAsia"/>
        </w:rPr>
        <w:t>的表现非常接近。</w:t>
      </w:r>
    </w:p>
    <w:p w:rsidR="00DC1700" w:rsidRDefault="00DC1700" w:rsidP="00DC1700">
      <w:pPr>
        <w:pStyle w:val="2"/>
        <w:spacing w:after="156"/>
      </w:pPr>
      <w:r>
        <w:rPr>
          <w:rFonts w:hint="eastAsia"/>
        </w:rPr>
        <w:t>模型评估</w:t>
      </w:r>
    </w:p>
    <w:p w:rsidR="00DC1700" w:rsidRPr="00DC1700" w:rsidRDefault="008967E7" w:rsidP="00A75CC6">
      <w:pPr>
        <w:spacing w:after="156"/>
        <w:ind w:firstLineChars="200" w:firstLine="420"/>
        <w:rPr>
          <w:rFonts w:hint="eastAsia"/>
        </w:rPr>
      </w:pPr>
      <w:r>
        <w:rPr>
          <w:rFonts w:hint="eastAsia"/>
        </w:rPr>
        <w:t>使用最优参数和全部训练集数据</w:t>
      </w:r>
      <w:r>
        <w:rPr>
          <w:rFonts w:hint="eastAsia"/>
        </w:rPr>
        <w:t>(</w:t>
      </w:r>
      <w:r>
        <w:rPr>
          <w:rFonts w:hint="eastAsia"/>
        </w:rPr>
        <w:t>不划验证集</w:t>
      </w:r>
      <w:r>
        <w:t>)</w:t>
      </w:r>
      <w:r>
        <w:rPr>
          <w:rFonts w:hint="eastAsia"/>
        </w:rPr>
        <w:t>训练模型，</w:t>
      </w:r>
      <w:r w:rsidR="00DC1700">
        <w:rPr>
          <w:rFonts w:hint="eastAsia"/>
        </w:rPr>
        <w:t>将模型滚动预测</w:t>
      </w:r>
      <w:r w:rsidR="00DC1700">
        <w:rPr>
          <w:rFonts w:hint="eastAsia"/>
        </w:rPr>
        <w:t>(</w:t>
      </w:r>
      <w:r w:rsidR="00DC1700">
        <w:rPr>
          <w:rFonts w:hint="eastAsia"/>
        </w:rPr>
        <w:t>上一期的预测作为下一期的输入</w:t>
      </w:r>
      <w:r w:rsidR="00DC1700">
        <w:t>)</w:t>
      </w:r>
      <w:r w:rsidR="00DC1700">
        <w:rPr>
          <w:rFonts w:hint="eastAsia"/>
        </w:rPr>
        <w:t>与测试集进行比较，得到测试集上的</w:t>
      </w:r>
      <w:r w:rsidR="00DC1700">
        <w:rPr>
          <w:rFonts w:hint="eastAsia"/>
        </w:rPr>
        <w:t>MSE</w:t>
      </w:r>
      <w:r w:rsidR="00DC1700">
        <w:rPr>
          <w:rFonts w:hint="eastAsia"/>
        </w:rPr>
        <w:t>。</w:t>
      </w:r>
    </w:p>
    <w:p w:rsidR="00433C1F" w:rsidRPr="00DC1700" w:rsidRDefault="00433C1F" w:rsidP="00A75CC6">
      <w:pPr>
        <w:spacing w:after="156"/>
        <w:ind w:firstLineChars="200" w:firstLine="420"/>
        <w:rPr>
          <w:rFonts w:hint="eastAsia"/>
        </w:rPr>
      </w:pPr>
      <w:r>
        <w:rPr>
          <w:rFonts w:hint="eastAsia"/>
        </w:rPr>
        <w:t>我们评估了参数优化过程中表现最好的两个模型：</w:t>
      </w:r>
      <w:r>
        <w:rPr>
          <w:rFonts w:hint="eastAsia"/>
        </w:rPr>
        <w:t>A</w:t>
      </w:r>
      <w:r>
        <w:t>APL-GRU(</w:t>
      </w:r>
      <w:r>
        <w:rPr>
          <w:rFonts w:hint="eastAsia"/>
        </w:rPr>
        <w:t>图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LSTM</w:t>
      </w:r>
      <w:r>
        <w:t>-GRU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>)</w:t>
      </w:r>
      <w:r>
        <w:rPr>
          <w:rFonts w:hint="eastAsia"/>
        </w:rPr>
        <w:t>。</w:t>
      </w:r>
    </w:p>
    <w:bookmarkStart w:id="0" w:name="_GoBack"/>
    <w:bookmarkStart w:id="1" w:name="_MON_1682396558"/>
    <w:bookmarkEnd w:id="1"/>
    <w:p w:rsidR="00F06DA7" w:rsidRDefault="001917CB" w:rsidP="00654A85">
      <w:pPr>
        <w:spacing w:after="156"/>
        <w:jc w:val="center"/>
      </w:pPr>
      <w:r>
        <w:object w:dxaOrig="8306" w:dyaOrig="12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00.6pt;height:440.4pt" o:ole="">
            <v:imagedata r:id="rId10" o:title=""/>
          </v:shape>
          <o:OLEObject Type="Embed" ProgID="Word.OpenDocumentText.12" ShapeID="_x0000_i1038" DrawAspect="Content" ObjectID="_1682403586" r:id="rId11"/>
        </w:object>
      </w:r>
      <w:bookmarkEnd w:id="0"/>
    </w:p>
    <w:p w:rsidR="00DC1700" w:rsidRDefault="00DC1700" w:rsidP="00DC1700">
      <w:pPr>
        <w:spacing w:after="156"/>
        <w:jc w:val="center"/>
      </w:pPr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超参数优化结果</w:t>
      </w:r>
    </w:p>
    <w:p w:rsidR="00433C1F" w:rsidRDefault="00433C1F" w:rsidP="00DC1700">
      <w:pPr>
        <w:spacing w:after="156"/>
        <w:jc w:val="center"/>
      </w:pPr>
    </w:p>
    <w:p w:rsidR="00433C1F" w:rsidRDefault="00433C1F" w:rsidP="00DC1700">
      <w:pPr>
        <w:spacing w:after="156"/>
        <w:jc w:val="center"/>
      </w:pPr>
      <w:r w:rsidRPr="00433C1F">
        <w:lastRenderedPageBreak/>
        <w:drawing>
          <wp:inline distT="0" distB="0" distL="0" distR="0" wp14:anchorId="1428A059" wp14:editId="02BD7EB8">
            <wp:extent cx="3787200" cy="2520000"/>
            <wp:effectExtent l="0" t="0" r="3810" b="0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1F" w:rsidRDefault="00433C1F" w:rsidP="00DC1700">
      <w:pPr>
        <w:spacing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AAPL</w:t>
      </w:r>
      <w:r>
        <w:t>-GRU</w:t>
      </w:r>
      <w:r>
        <w:rPr>
          <w:rFonts w:hint="eastAsia"/>
        </w:rPr>
        <w:t>测试集表现</w:t>
      </w:r>
      <w:r>
        <w:rPr>
          <w:rFonts w:hint="eastAsia"/>
        </w:rPr>
        <w:t>(</w:t>
      </w:r>
      <w:r>
        <w:rPr>
          <w:rFonts w:hint="eastAsia"/>
        </w:rPr>
        <w:t>积分曲线</w:t>
      </w:r>
      <w:r>
        <w:t>)</w:t>
      </w:r>
    </w:p>
    <w:p w:rsidR="00433C1F" w:rsidRDefault="00433C1F" w:rsidP="00DC1700">
      <w:pPr>
        <w:spacing w:after="156"/>
        <w:jc w:val="center"/>
      </w:pPr>
      <w:r>
        <w:rPr>
          <w:rFonts w:hint="eastAsia"/>
        </w:rPr>
        <w:t>MSE</w:t>
      </w:r>
      <w:r>
        <w:t xml:space="preserve"> = 0.121 </w:t>
      </w:r>
      <w:r>
        <w:rPr>
          <w:rFonts w:hint="eastAsia"/>
        </w:rPr>
        <w:t>(</w:t>
      </w:r>
      <w:r>
        <w:rPr>
          <w:rFonts w:hint="eastAsia"/>
        </w:rPr>
        <w:t>差分数据</w:t>
      </w:r>
      <w:r>
        <w:t>)</w:t>
      </w:r>
    </w:p>
    <w:p w:rsidR="00433C1F" w:rsidRDefault="00433C1F" w:rsidP="00DC1700">
      <w:pPr>
        <w:spacing w:after="156"/>
        <w:jc w:val="center"/>
      </w:pPr>
    </w:p>
    <w:p w:rsidR="00433C1F" w:rsidRDefault="00433C1F" w:rsidP="00DC1700">
      <w:pPr>
        <w:spacing w:after="156"/>
        <w:jc w:val="center"/>
      </w:pPr>
      <w:r w:rsidRPr="00433C1F">
        <w:drawing>
          <wp:inline distT="0" distB="0" distL="0" distR="0" wp14:anchorId="4642DE1B" wp14:editId="1E3CBF01">
            <wp:extent cx="3816000" cy="2520000"/>
            <wp:effectExtent l="0" t="0" r="0" b="0"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1F" w:rsidRDefault="00433C1F" w:rsidP="00DC1700">
      <w:pPr>
        <w:spacing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MSFT</w:t>
      </w:r>
      <w:r>
        <w:t xml:space="preserve">-GRU </w:t>
      </w:r>
      <w:r>
        <w:rPr>
          <w:rFonts w:hint="eastAsia"/>
        </w:rPr>
        <w:t>测试集表现</w:t>
      </w:r>
      <w:r>
        <w:rPr>
          <w:rFonts w:hint="eastAsia"/>
        </w:rPr>
        <w:t>(</w:t>
      </w:r>
      <w:r>
        <w:rPr>
          <w:rFonts w:hint="eastAsia"/>
        </w:rPr>
        <w:t>积分曲线</w:t>
      </w:r>
      <w:r>
        <w:t>)</w:t>
      </w:r>
    </w:p>
    <w:p w:rsidR="00433C1F" w:rsidRDefault="00433C1F" w:rsidP="00DC1700">
      <w:pPr>
        <w:spacing w:after="156"/>
        <w:jc w:val="center"/>
      </w:pPr>
      <w:r>
        <w:rPr>
          <w:rFonts w:hint="eastAsia"/>
        </w:rPr>
        <w:t>MSE</w:t>
      </w:r>
      <w:r>
        <w:t xml:space="preserve"> = 0.</w:t>
      </w:r>
      <w:r w:rsidR="008967E7">
        <w:t>475</w:t>
      </w:r>
      <w:r>
        <w:t xml:space="preserve"> (</w:t>
      </w:r>
      <w:r>
        <w:rPr>
          <w:rFonts w:hint="eastAsia"/>
        </w:rPr>
        <w:t>差分数据</w:t>
      </w:r>
      <w:r>
        <w:t>)</w:t>
      </w:r>
    </w:p>
    <w:p w:rsidR="00433C1F" w:rsidRDefault="008967E7" w:rsidP="00BE319E">
      <w:pPr>
        <w:spacing w:after="156"/>
        <w:ind w:firstLineChars="200" w:firstLine="420"/>
      </w:pPr>
      <w:r>
        <w:rPr>
          <w:rFonts w:hint="eastAsia"/>
        </w:rPr>
        <w:t>由于滚动预测的性质，误差会随着预测期限延长而累加，造成后面的预测可能完全不正确。与移动平均或自回归方法类似，</w:t>
      </w:r>
      <w:r>
        <w:rPr>
          <w:rFonts w:hint="eastAsia"/>
        </w:rPr>
        <w:t>RNN</w:t>
      </w:r>
      <w:r>
        <w:rPr>
          <w:rFonts w:hint="eastAsia"/>
        </w:rPr>
        <w:t>方法的预测也出现了平滑现象。另一个有趣的现象是，按照最优的训练轮数进行训练，模型都无法收敛。这可能是因为模型在没有收敛的时候波动大，容易出现在验证集上</w:t>
      </w:r>
      <w:r>
        <w:rPr>
          <w:rFonts w:hint="eastAsia"/>
        </w:rPr>
        <w:t>MSE</w:t>
      </w:r>
      <w:r>
        <w:rPr>
          <w:rFonts w:hint="eastAsia"/>
        </w:rPr>
        <w:t>很小的情况；而收敛后出现过拟合，在验证集上</w:t>
      </w:r>
      <w:r>
        <w:rPr>
          <w:rFonts w:hint="eastAsia"/>
        </w:rPr>
        <w:t>MSE</w:t>
      </w:r>
      <w:r>
        <w:rPr>
          <w:rFonts w:hint="eastAsia"/>
        </w:rPr>
        <w:t>会稍微变大，所以</w:t>
      </w:r>
      <w:proofErr w:type="gramStart"/>
      <w:r>
        <w:rPr>
          <w:rFonts w:hint="eastAsia"/>
        </w:rPr>
        <w:t>调参过程</w:t>
      </w:r>
      <w:proofErr w:type="gramEnd"/>
      <w:r>
        <w:rPr>
          <w:rFonts w:hint="eastAsia"/>
        </w:rPr>
        <w:t>更容易选中不收敛的参数。这个问题是十分致命的。</w:t>
      </w:r>
    </w:p>
    <w:p w:rsidR="008967E7" w:rsidRDefault="008967E7" w:rsidP="008967E7">
      <w:pPr>
        <w:pStyle w:val="1"/>
        <w:spacing w:after="156"/>
      </w:pPr>
      <w:r>
        <w:rPr>
          <w:rFonts w:hint="eastAsia"/>
        </w:rPr>
        <w:t>未来安排</w:t>
      </w:r>
    </w:p>
    <w:p w:rsidR="008967E7" w:rsidRPr="008967E7" w:rsidRDefault="008967E7" w:rsidP="00BE319E">
      <w:pPr>
        <w:spacing w:after="156"/>
        <w:ind w:firstLineChars="200" w:firstLine="420"/>
        <w:rPr>
          <w:rFonts w:hint="eastAsia"/>
        </w:rPr>
      </w:pPr>
      <w:r>
        <w:rPr>
          <w:rFonts w:hint="eastAsia"/>
        </w:rPr>
        <w:t>为了提供对照，我们计划使用</w:t>
      </w:r>
      <w:r>
        <w:rPr>
          <w:rFonts w:hint="eastAsia"/>
        </w:rPr>
        <w:t>ARIMA</w:t>
      </w:r>
      <w:r>
        <w:rPr>
          <w:rFonts w:hint="eastAsia"/>
        </w:rPr>
        <w:t>模型进行相同的预测，并对比二者的表现差异。</w:t>
      </w:r>
      <w:r>
        <w:rPr>
          <w:rFonts w:hint="eastAsia"/>
        </w:rPr>
        <w:lastRenderedPageBreak/>
        <w:t>此外，以上所训练的</w:t>
      </w:r>
      <w:r>
        <w:rPr>
          <w:rFonts w:hint="eastAsia"/>
        </w:rPr>
        <w:t>RNN</w:t>
      </w:r>
      <w:r>
        <w:rPr>
          <w:rFonts w:hint="eastAsia"/>
        </w:rPr>
        <w:t>模型仍有瑕疵，主要表现为训练不收敛。将优化目标调整为训练末端的上置信</w:t>
      </w:r>
      <w:r w:rsidR="004B2C8D">
        <w:rPr>
          <w:rFonts w:hint="eastAsia"/>
        </w:rPr>
        <w:t>边界</w:t>
      </w:r>
      <w:r>
        <w:rPr>
          <w:rFonts w:hint="eastAsia"/>
        </w:rPr>
        <w:t>，或不优化训练轮数和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>可以解决这一问题</w:t>
      </w:r>
      <w:r w:rsidR="004B2C8D">
        <w:rPr>
          <w:rFonts w:hint="eastAsia"/>
        </w:rPr>
        <w:t>。此外，</w:t>
      </w:r>
      <w:r w:rsidR="004B2C8D">
        <w:rPr>
          <w:rFonts w:hint="eastAsia"/>
        </w:rPr>
        <w:t>MSE</w:t>
      </w:r>
      <w:r w:rsidR="004B2C8D">
        <w:rPr>
          <w:rFonts w:hint="eastAsia"/>
        </w:rPr>
        <w:t>是绝对误差量，不能很好地反映测试精度，相对误差或</w:t>
      </w:r>
      <w:r w:rsidR="004B2C8D">
        <w:rPr>
          <w:rFonts w:hint="eastAsia"/>
        </w:rPr>
        <w:t>R</w:t>
      </w:r>
      <w:r w:rsidR="004B2C8D">
        <w:t>2 score</w:t>
      </w:r>
      <w:r w:rsidR="004B2C8D">
        <w:rPr>
          <w:rFonts w:hint="eastAsia"/>
        </w:rPr>
        <w:t>更合适。</w:t>
      </w:r>
    </w:p>
    <w:sectPr w:rsidR="008967E7" w:rsidRPr="0089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13514"/>
    <w:multiLevelType w:val="hybridMultilevel"/>
    <w:tmpl w:val="E514B366"/>
    <w:lvl w:ilvl="0" w:tplc="96501E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227CEF"/>
    <w:multiLevelType w:val="hybridMultilevel"/>
    <w:tmpl w:val="7D9A0224"/>
    <w:lvl w:ilvl="0" w:tplc="9F7E501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7"/>
    <w:rsid w:val="000B36D8"/>
    <w:rsid w:val="001917CB"/>
    <w:rsid w:val="00433C1F"/>
    <w:rsid w:val="00466996"/>
    <w:rsid w:val="00487480"/>
    <w:rsid w:val="004B2C8D"/>
    <w:rsid w:val="004F100C"/>
    <w:rsid w:val="005B7817"/>
    <w:rsid w:val="00632A03"/>
    <w:rsid w:val="00654A85"/>
    <w:rsid w:val="006C3307"/>
    <w:rsid w:val="00761103"/>
    <w:rsid w:val="008967E7"/>
    <w:rsid w:val="00952D80"/>
    <w:rsid w:val="00960587"/>
    <w:rsid w:val="009830BA"/>
    <w:rsid w:val="0099217E"/>
    <w:rsid w:val="00A66717"/>
    <w:rsid w:val="00A75CC6"/>
    <w:rsid w:val="00BE319E"/>
    <w:rsid w:val="00CD3BFD"/>
    <w:rsid w:val="00D32C2F"/>
    <w:rsid w:val="00DC1700"/>
    <w:rsid w:val="00E200C2"/>
    <w:rsid w:val="00F0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5839"/>
  <w15:chartTrackingRefBased/>
  <w15:docId w15:val="{9EC13B3A-7E35-42F0-A3D9-63202078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CC6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CC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CC6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5CC6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21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32C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32C2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5CC6"/>
    <w:rPr>
      <w:b/>
      <w:bCs/>
      <w:kern w:val="44"/>
      <w:sz w:val="30"/>
      <w:szCs w:val="44"/>
    </w:rPr>
  </w:style>
  <w:style w:type="character" w:styleId="a7">
    <w:name w:val="Hyperlink"/>
    <w:basedOn w:val="a0"/>
    <w:uiPriority w:val="99"/>
    <w:unhideWhenUsed/>
    <w:rsid w:val="00CD3BF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3BFD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CD3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D3B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E20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hyperlink" Target="http://www.quandl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sv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潘高翔</dc:creator>
  <cp:keywords/>
  <dc:description/>
  <cp:lastModifiedBy>潘高翔</cp:lastModifiedBy>
  <cp:revision>5</cp:revision>
  <dcterms:created xsi:type="dcterms:W3CDTF">2021-05-12T14:21:00Z</dcterms:created>
  <dcterms:modified xsi:type="dcterms:W3CDTF">2021-05-13T01:33:00Z</dcterms:modified>
</cp:coreProperties>
</file>