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40A" w:rsidRPr="00D431C1" w:rsidRDefault="00EF040A" w:rsidP="00EF040A">
      <w:pPr>
        <w:pStyle w:val="Normal-pool"/>
        <w:tabs>
          <w:tab w:val="clear" w:pos="1247"/>
          <w:tab w:val="clear" w:pos="1814"/>
          <w:tab w:val="clear" w:pos="2381"/>
          <w:tab w:val="clear" w:pos="2948"/>
          <w:tab w:val="clear" w:pos="3515"/>
          <w:tab w:val="left" w:pos="624"/>
        </w:tabs>
        <w:spacing w:after="120"/>
        <w:ind w:left="1276"/>
        <w:rPr>
          <w:b/>
          <w:sz w:val="28"/>
          <w:szCs w:val="28"/>
        </w:rPr>
      </w:pPr>
      <w:r w:rsidRPr="00D431C1">
        <w:rPr>
          <w:b/>
          <w:sz w:val="28"/>
          <w:szCs w:val="28"/>
        </w:rPr>
        <w:t xml:space="preserve">SC-8/2: DDT </w:t>
      </w:r>
    </w:p>
    <w:p w:rsidR="00EF040A" w:rsidRPr="00D431C1" w:rsidRDefault="00EF040A" w:rsidP="00EF040A">
      <w:pPr>
        <w:spacing w:after="120"/>
        <w:ind w:left="1247" w:firstLine="624"/>
        <w:rPr>
          <w:sz w:val="20"/>
        </w:rPr>
      </w:pPr>
      <w:r w:rsidRPr="00D431C1">
        <w:rPr>
          <w:i/>
          <w:sz w:val="20"/>
        </w:rPr>
        <w:t>The Conference of the Parties</w:t>
      </w:r>
      <w:r w:rsidRPr="00D431C1">
        <w:rPr>
          <w:sz w:val="20"/>
        </w:rPr>
        <w:t>,</w:t>
      </w:r>
    </w:p>
    <w:p w:rsidR="00EF040A" w:rsidRPr="00D431C1" w:rsidRDefault="00EF040A" w:rsidP="00EF040A">
      <w:pPr>
        <w:pStyle w:val="Normal-pool"/>
        <w:keepNext/>
        <w:keepLines/>
        <w:tabs>
          <w:tab w:val="clear" w:pos="1247"/>
          <w:tab w:val="clear" w:pos="1814"/>
          <w:tab w:val="clear" w:pos="2381"/>
          <w:tab w:val="clear" w:pos="2948"/>
          <w:tab w:val="clear" w:pos="3515"/>
          <w:tab w:val="clear" w:pos="4082"/>
        </w:tabs>
        <w:spacing w:after="120"/>
        <w:ind w:left="1247" w:firstLine="624"/>
        <w:rPr>
          <w:i/>
        </w:rPr>
      </w:pPr>
      <w:r w:rsidRPr="00D431C1">
        <w:rPr>
          <w:i/>
        </w:rPr>
        <w:t xml:space="preserve">Noting </w:t>
      </w:r>
      <w:r w:rsidRPr="00D431C1">
        <w:t xml:space="preserve">the priority areas for </w:t>
      </w:r>
      <w:r w:rsidRPr="0060168E">
        <w:t>action recognized</w:t>
      </w:r>
      <w:r w:rsidRPr="00D431C1">
        <w:t xml:space="preserve"> in decision SC-8/18 on effectiveness evaluation as they relate to DDT,</w:t>
      </w:r>
    </w:p>
    <w:p w:rsidR="00EF040A" w:rsidRPr="00D431C1" w:rsidRDefault="00EF040A" w:rsidP="00EF040A">
      <w:pPr>
        <w:pStyle w:val="Normal-pool"/>
        <w:numPr>
          <w:ilvl w:val="0"/>
          <w:numId w:val="1"/>
        </w:numPr>
        <w:tabs>
          <w:tab w:val="clear" w:pos="720"/>
          <w:tab w:val="clear" w:pos="1247"/>
          <w:tab w:val="clear" w:pos="1814"/>
          <w:tab w:val="clear" w:pos="2381"/>
          <w:tab w:val="clear" w:pos="2948"/>
          <w:tab w:val="clear" w:pos="3515"/>
          <w:tab w:val="clear" w:pos="4082"/>
        </w:tabs>
        <w:spacing w:after="120"/>
        <w:ind w:left="1247" w:firstLine="624"/>
      </w:pPr>
      <w:r w:rsidRPr="00D431C1">
        <w:rPr>
          <w:i/>
        </w:rPr>
        <w:t>Takes note</w:t>
      </w:r>
      <w:r w:rsidRPr="00D431C1">
        <w:t xml:space="preserve"> of the report by the DDT expert group on the assessment of the continued need for DDT for disease vector control, including the conclusions and recommendations set forth therein;</w:t>
      </w:r>
      <w:r w:rsidRPr="00D431C1">
        <w:rPr>
          <w:szCs w:val="18"/>
          <w:vertAlign w:val="superscript"/>
        </w:rPr>
        <w:footnoteReference w:id="1"/>
      </w:r>
      <w:r w:rsidRPr="00D431C1">
        <w:t xml:space="preserve"> </w:t>
      </w:r>
    </w:p>
    <w:p w:rsidR="00EF040A" w:rsidRPr="00D431C1" w:rsidRDefault="00EF040A" w:rsidP="00EF040A">
      <w:pPr>
        <w:pStyle w:val="Normal-pool"/>
        <w:numPr>
          <w:ilvl w:val="0"/>
          <w:numId w:val="1"/>
        </w:numPr>
        <w:tabs>
          <w:tab w:val="clear" w:pos="720"/>
          <w:tab w:val="clear" w:pos="1247"/>
          <w:tab w:val="clear" w:pos="1814"/>
          <w:tab w:val="clear" w:pos="2381"/>
          <w:tab w:val="clear" w:pos="2948"/>
          <w:tab w:val="clear" w:pos="3515"/>
          <w:tab w:val="clear" w:pos="4082"/>
        </w:tabs>
        <w:spacing w:after="120"/>
        <w:ind w:left="1247" w:firstLine="624"/>
        <w:rPr>
          <w:iCs/>
          <w:color w:val="000000"/>
        </w:rPr>
      </w:pPr>
      <w:r w:rsidRPr="00D431C1">
        <w:rPr>
          <w:i/>
          <w:iCs/>
          <w:color w:val="000000"/>
        </w:rPr>
        <w:t>Concludes</w:t>
      </w:r>
      <w:r w:rsidRPr="00D431C1">
        <w:rPr>
          <w:iCs/>
          <w:color w:val="000000"/>
        </w:rPr>
        <w:t xml:space="preserve"> that countries that rely on indoor residual spraying for disease vector control may need DDT for that purpose in specific settings </w:t>
      </w:r>
      <w:r w:rsidRPr="00D431C1">
        <w:rPr>
          <w:szCs w:val="22"/>
        </w:rPr>
        <w:t>where locally safe, effective and affordable alternatives are still lacking</w:t>
      </w:r>
      <w:r w:rsidRPr="00D431C1">
        <w:rPr>
          <w:iCs/>
          <w:color w:val="000000"/>
        </w:rPr>
        <w:t xml:space="preserve"> for a sustainable transition away from DDT;</w:t>
      </w:r>
    </w:p>
    <w:p w:rsidR="00EF040A" w:rsidRPr="00D431C1" w:rsidRDefault="00EF040A" w:rsidP="00EF040A">
      <w:pPr>
        <w:pStyle w:val="Normal-pool"/>
        <w:numPr>
          <w:ilvl w:val="0"/>
          <w:numId w:val="1"/>
        </w:numPr>
        <w:tabs>
          <w:tab w:val="clear" w:pos="720"/>
          <w:tab w:val="clear" w:pos="1247"/>
          <w:tab w:val="clear" w:pos="1814"/>
          <w:tab w:val="clear" w:pos="2381"/>
          <w:tab w:val="clear" w:pos="2948"/>
          <w:tab w:val="clear" w:pos="3515"/>
          <w:tab w:val="clear" w:pos="4082"/>
        </w:tabs>
        <w:spacing w:after="120"/>
        <w:ind w:left="1247" w:firstLine="624"/>
        <w:rPr>
          <w:iCs/>
          <w:color w:val="000000"/>
        </w:rPr>
      </w:pPr>
      <w:r w:rsidRPr="00D431C1">
        <w:rPr>
          <w:i/>
          <w:iCs/>
          <w:color w:val="000000"/>
        </w:rPr>
        <w:t>Notes</w:t>
      </w:r>
      <w:r w:rsidRPr="00D431C1">
        <w:rPr>
          <w:iCs/>
          <w:color w:val="000000"/>
        </w:rPr>
        <w:t xml:space="preserve"> the necessity of providing technical, financial and other assistance to developing country Parties and Parties with economies in transition for a transition away from reliance on DDT for disease vector control, with due priority accorded to:</w:t>
      </w:r>
    </w:p>
    <w:p w:rsidR="00EF040A" w:rsidRPr="00D431C1" w:rsidRDefault="00EF040A" w:rsidP="00EF040A">
      <w:pPr>
        <w:pStyle w:val="Normal-pool"/>
        <w:tabs>
          <w:tab w:val="clear" w:pos="1247"/>
          <w:tab w:val="clear" w:pos="1814"/>
          <w:tab w:val="clear" w:pos="2381"/>
          <w:tab w:val="clear" w:pos="2948"/>
          <w:tab w:val="clear" w:pos="3515"/>
          <w:tab w:val="clear" w:pos="4082"/>
        </w:tabs>
        <w:spacing w:after="120"/>
        <w:ind w:left="1247" w:firstLine="624"/>
      </w:pPr>
      <w:r w:rsidRPr="00D431C1">
        <w:t>(a)</w:t>
      </w:r>
      <w:r w:rsidRPr="00D431C1">
        <w:tab/>
        <w:t>Reporting on DDT by Parties to enable adequate assessment under the Stockholm Convention on Persistent Organic Pollutants, including in particular the mechanism for reporting on use, import and export and stockpiles of DDT and use of other chemicals for indoor residual spraying;</w:t>
      </w:r>
    </w:p>
    <w:p w:rsidR="00EF040A" w:rsidRPr="00D431C1" w:rsidRDefault="00EF040A" w:rsidP="00EF040A">
      <w:pPr>
        <w:pStyle w:val="Normal-pool"/>
        <w:tabs>
          <w:tab w:val="clear" w:pos="1247"/>
          <w:tab w:val="clear" w:pos="1814"/>
          <w:tab w:val="clear" w:pos="2381"/>
          <w:tab w:val="clear" w:pos="2948"/>
          <w:tab w:val="clear" w:pos="3515"/>
          <w:tab w:val="clear" w:pos="4082"/>
        </w:tabs>
        <w:spacing w:after="120"/>
        <w:ind w:left="1247" w:firstLine="624"/>
      </w:pPr>
      <w:r w:rsidRPr="00D431C1">
        <w:t>(b)</w:t>
      </w:r>
      <w:r w:rsidRPr="00D431C1">
        <w:tab/>
        <w:t>Ensuring adequate national capacity for research, resistance monitoring and implementation for pilot testing and scaling up of existing alternatives to DDT, as well as ensuring the long-term sustainability of vector control programmes;</w:t>
      </w:r>
    </w:p>
    <w:p w:rsidR="00EF040A" w:rsidRPr="00D431C1" w:rsidRDefault="00EF040A" w:rsidP="00EF040A">
      <w:pPr>
        <w:pStyle w:val="Normal-pool"/>
        <w:numPr>
          <w:ilvl w:val="0"/>
          <w:numId w:val="1"/>
        </w:numPr>
        <w:tabs>
          <w:tab w:val="clear" w:pos="720"/>
          <w:tab w:val="clear" w:pos="1247"/>
          <w:tab w:val="clear" w:pos="1814"/>
          <w:tab w:val="clear" w:pos="2381"/>
          <w:tab w:val="clear" w:pos="2948"/>
          <w:tab w:val="clear" w:pos="3515"/>
          <w:tab w:val="clear" w:pos="4082"/>
        </w:tabs>
        <w:spacing w:after="120"/>
        <w:ind w:left="1247" w:firstLine="624"/>
        <w:rPr>
          <w:iCs/>
          <w:color w:val="000000"/>
        </w:rPr>
      </w:pPr>
      <w:r w:rsidRPr="00D431C1">
        <w:rPr>
          <w:i/>
          <w:iCs/>
          <w:color w:val="000000"/>
        </w:rPr>
        <w:t>Urges</w:t>
      </w:r>
      <w:r w:rsidRPr="00D431C1">
        <w:t xml:space="preserve"> Parties to </w:t>
      </w:r>
      <w:r w:rsidRPr="00D431C1">
        <w:rPr>
          <w:iCs/>
          <w:color w:val="000000"/>
        </w:rPr>
        <w:t xml:space="preserve">seek guidance from the World Health Organization before considering DDT for the control of vectors of </w:t>
      </w:r>
      <w:proofErr w:type="spellStart"/>
      <w:r w:rsidRPr="00D431C1">
        <w:rPr>
          <w:iCs/>
          <w:color w:val="000000"/>
        </w:rPr>
        <w:t>arboviruses</w:t>
      </w:r>
      <w:proofErr w:type="spellEnd"/>
      <w:r w:rsidRPr="00D431C1">
        <w:rPr>
          <w:szCs w:val="22"/>
        </w:rPr>
        <w:t>;</w:t>
      </w:r>
    </w:p>
    <w:p w:rsidR="00EF040A" w:rsidRPr="00D431C1" w:rsidRDefault="00EF040A" w:rsidP="00EF040A">
      <w:pPr>
        <w:pStyle w:val="Normal-pool"/>
        <w:numPr>
          <w:ilvl w:val="0"/>
          <w:numId w:val="1"/>
        </w:numPr>
        <w:tabs>
          <w:tab w:val="clear" w:pos="720"/>
          <w:tab w:val="clear" w:pos="1247"/>
          <w:tab w:val="clear" w:pos="1814"/>
          <w:tab w:val="clear" w:pos="2381"/>
          <w:tab w:val="clear" w:pos="2948"/>
          <w:tab w:val="clear" w:pos="3515"/>
          <w:tab w:val="clear" w:pos="4082"/>
        </w:tabs>
        <w:spacing w:after="120"/>
        <w:ind w:left="1247" w:firstLine="624"/>
        <w:rPr>
          <w:iCs/>
          <w:color w:val="000000"/>
        </w:rPr>
      </w:pPr>
      <w:r w:rsidRPr="00D431C1">
        <w:rPr>
          <w:i/>
          <w:iCs/>
          <w:color w:val="000000"/>
        </w:rPr>
        <w:t>Decides</w:t>
      </w:r>
      <w:r w:rsidRPr="00D431C1">
        <w:rPr>
          <w:iCs/>
          <w:color w:val="000000"/>
        </w:rPr>
        <w:t xml:space="preserve"> to evaluate at its ninth meeting the continued need for DDT for disease vector control on the basis of the available scientific, technical, environmental and economic information, including that provided by the DDT expert group, with the objective of accelerating the identification and development of locally appropriate, cost</w:t>
      </w:r>
      <w:r w:rsidRPr="00D431C1">
        <w:rPr>
          <w:iCs/>
          <w:color w:val="000000"/>
        </w:rPr>
        <w:noBreakHyphen/>
        <w:t>effective and safe alternatives;</w:t>
      </w:r>
    </w:p>
    <w:p w:rsidR="00EF040A" w:rsidRPr="00D431C1" w:rsidRDefault="00EF040A" w:rsidP="00EF040A">
      <w:pPr>
        <w:pStyle w:val="Normal-pool"/>
        <w:numPr>
          <w:ilvl w:val="0"/>
          <w:numId w:val="1"/>
        </w:numPr>
        <w:tabs>
          <w:tab w:val="clear" w:pos="720"/>
          <w:tab w:val="clear" w:pos="1247"/>
          <w:tab w:val="clear" w:pos="1814"/>
          <w:tab w:val="clear" w:pos="2381"/>
          <w:tab w:val="clear" w:pos="2948"/>
          <w:tab w:val="clear" w:pos="3515"/>
          <w:tab w:val="clear" w:pos="4082"/>
        </w:tabs>
        <w:spacing w:after="120"/>
        <w:ind w:left="1247" w:firstLine="624"/>
        <w:rPr>
          <w:iCs/>
          <w:color w:val="000000"/>
        </w:rPr>
      </w:pPr>
      <w:r w:rsidRPr="00D431C1">
        <w:rPr>
          <w:i/>
          <w:iCs/>
          <w:color w:val="000000"/>
        </w:rPr>
        <w:t>Requests</w:t>
      </w:r>
      <w:r w:rsidRPr="00D431C1">
        <w:rPr>
          <w:iCs/>
          <w:color w:val="000000"/>
        </w:rPr>
        <w:t xml:space="preserve"> the Secretariat to continue to support the process set out in annex I to decision SC-3/2 and to assist Parties to promote </w:t>
      </w:r>
      <w:r w:rsidRPr="00D431C1">
        <w:rPr>
          <w:szCs w:val="22"/>
        </w:rPr>
        <w:t xml:space="preserve">locally safe, effective and affordable alternatives </w:t>
      </w:r>
      <w:r w:rsidRPr="00D431C1">
        <w:rPr>
          <w:iCs/>
          <w:color w:val="000000"/>
        </w:rPr>
        <w:t xml:space="preserve">for a sustainable transition away from DDT; </w:t>
      </w:r>
    </w:p>
    <w:p w:rsidR="00EF040A" w:rsidRPr="00D431C1" w:rsidRDefault="00EF040A" w:rsidP="00EF040A">
      <w:pPr>
        <w:pStyle w:val="Normal-pool"/>
        <w:numPr>
          <w:ilvl w:val="0"/>
          <w:numId w:val="1"/>
        </w:numPr>
        <w:tabs>
          <w:tab w:val="clear" w:pos="720"/>
          <w:tab w:val="clear" w:pos="1247"/>
          <w:tab w:val="clear" w:pos="1814"/>
          <w:tab w:val="clear" w:pos="2381"/>
          <w:tab w:val="clear" w:pos="2948"/>
          <w:tab w:val="clear" w:pos="3515"/>
          <w:tab w:val="clear" w:pos="4082"/>
        </w:tabs>
        <w:spacing w:after="120"/>
        <w:ind w:left="1247" w:firstLine="624"/>
        <w:rPr>
          <w:iCs/>
          <w:color w:val="000000"/>
        </w:rPr>
      </w:pPr>
      <w:r w:rsidRPr="00D431C1">
        <w:rPr>
          <w:i/>
          <w:iCs/>
          <w:color w:val="000000"/>
        </w:rPr>
        <w:t xml:space="preserve">Takes note </w:t>
      </w:r>
      <w:r w:rsidRPr="00D431C1">
        <w:rPr>
          <w:iCs/>
          <w:color w:val="000000"/>
        </w:rPr>
        <w:t>of:</w:t>
      </w:r>
    </w:p>
    <w:p w:rsidR="00EF040A" w:rsidRPr="00D431C1" w:rsidRDefault="00EF040A" w:rsidP="00EF040A">
      <w:pPr>
        <w:pStyle w:val="Normal-pool"/>
        <w:tabs>
          <w:tab w:val="clear" w:pos="1247"/>
          <w:tab w:val="clear" w:pos="1814"/>
          <w:tab w:val="clear" w:pos="2381"/>
          <w:tab w:val="clear" w:pos="2948"/>
          <w:tab w:val="clear" w:pos="3515"/>
          <w:tab w:val="clear" w:pos="4082"/>
        </w:tabs>
        <w:spacing w:after="120"/>
        <w:ind w:left="1247" w:firstLine="624"/>
      </w:pPr>
      <w:r w:rsidRPr="00D431C1">
        <w:t>(a)</w:t>
      </w:r>
      <w:r w:rsidRPr="00D431C1">
        <w:tab/>
        <w:t>The report by the United Nations Environment Programme on the implementation of the road map for the development of alternatives to DDT</w:t>
      </w:r>
      <w:r w:rsidRPr="00D431C1">
        <w:rPr>
          <w:vertAlign w:val="superscript"/>
        </w:rPr>
        <w:footnoteReference w:id="2"/>
      </w:r>
      <w:r w:rsidRPr="00D431C1">
        <w:t xml:space="preserve"> and invites the United Nations Environment Programme to continue to lead the implementation of the road map, in consultation with the World Health Organization, the DDT expert group, the Global Alliance for the Development and Deployment of Products, Methods and Strategies as Alternatives to DDT for Disease Vector Control and the Secretariat, and to report on progress in the implementation of the road map to the Conference of the Parties at its ninth meeting; </w:t>
      </w:r>
    </w:p>
    <w:p w:rsidR="00EF040A" w:rsidRPr="00D431C1" w:rsidRDefault="00EF040A" w:rsidP="00EF040A">
      <w:pPr>
        <w:pStyle w:val="Normal-pool"/>
        <w:tabs>
          <w:tab w:val="clear" w:pos="1247"/>
          <w:tab w:val="clear" w:pos="1814"/>
          <w:tab w:val="clear" w:pos="2381"/>
          <w:tab w:val="clear" w:pos="2948"/>
          <w:tab w:val="clear" w:pos="3515"/>
          <w:tab w:val="clear" w:pos="4082"/>
        </w:tabs>
        <w:spacing w:after="120"/>
        <w:ind w:left="1247" w:firstLine="624"/>
      </w:pPr>
      <w:r w:rsidRPr="00D431C1">
        <w:t>(b)</w:t>
      </w:r>
      <w:r w:rsidRPr="00D431C1">
        <w:tab/>
        <w:t>The report by the United Nations Environment Programme on progress in the implementation of the Global Alliance for the Development and Deployment of Products, Methods and Strategies as Alternatives to DDT for Disease Vector Control</w:t>
      </w:r>
      <w:r w:rsidRPr="00D431C1">
        <w:rPr>
          <w:vertAlign w:val="superscript"/>
        </w:rPr>
        <w:footnoteReference w:id="3"/>
      </w:r>
      <w:r w:rsidRPr="00D431C1">
        <w:t xml:space="preserve"> and invites the United Nations Environment Programme to report on progress in the implementation of the activities of the Global Alliance towards achieving its goals to the Conference of the Parties at its ninth meeting;</w:t>
      </w:r>
    </w:p>
    <w:p w:rsidR="00EF040A" w:rsidRPr="00D431C1" w:rsidRDefault="00EF040A" w:rsidP="00EF040A">
      <w:pPr>
        <w:pStyle w:val="Normal-pool"/>
        <w:tabs>
          <w:tab w:val="clear" w:pos="1247"/>
          <w:tab w:val="clear" w:pos="1814"/>
          <w:tab w:val="clear" w:pos="2381"/>
          <w:tab w:val="clear" w:pos="2948"/>
          <w:tab w:val="clear" w:pos="3515"/>
          <w:tab w:val="clear" w:pos="4082"/>
        </w:tabs>
        <w:spacing w:after="120"/>
        <w:ind w:left="1247" w:firstLine="624"/>
      </w:pPr>
      <w:r w:rsidRPr="00D431C1">
        <w:lastRenderedPageBreak/>
        <w:t>(c)</w:t>
      </w:r>
      <w:r w:rsidRPr="00D431C1">
        <w:tab/>
        <w:t>The information reported by the World Health Organization on the use of DDT and DDT alternatives in disease vector control</w:t>
      </w:r>
      <w:r w:rsidRPr="00D431C1">
        <w:rPr>
          <w:vertAlign w:val="superscript"/>
        </w:rPr>
        <w:footnoteReference w:id="4"/>
      </w:r>
      <w:r w:rsidRPr="00D431C1">
        <w:t xml:space="preserve"> and welcomes the existing collaboration with the World Health Organization and invites its continued collaboration in the process for the reporting on and assessment and evaluation of the continued need for DDT for disease vector control referred to in paragraph 6 above and in any other manner that may support the Conference of </w:t>
      </w:r>
      <w:r>
        <w:t xml:space="preserve">the </w:t>
      </w:r>
      <w:r w:rsidRPr="00D431C1">
        <w:t>Parties in future evaluations of the continued need for DDT for disease vector control and in promoting suitable alternatives to DDT for disease vector control;</w:t>
      </w:r>
    </w:p>
    <w:p w:rsidR="00EF040A" w:rsidRPr="00D431C1" w:rsidRDefault="00EF040A" w:rsidP="00EF040A">
      <w:pPr>
        <w:pStyle w:val="Normal-pool"/>
        <w:numPr>
          <w:ilvl w:val="0"/>
          <w:numId w:val="1"/>
        </w:numPr>
        <w:tabs>
          <w:tab w:val="clear" w:pos="720"/>
          <w:tab w:val="clear" w:pos="1247"/>
          <w:tab w:val="clear" w:pos="1814"/>
          <w:tab w:val="clear" w:pos="2381"/>
          <w:tab w:val="clear" w:pos="2948"/>
          <w:tab w:val="clear" w:pos="3515"/>
          <w:tab w:val="clear" w:pos="4082"/>
        </w:tabs>
        <w:spacing w:after="120"/>
        <w:ind w:left="1247" w:firstLine="624"/>
        <w:rPr>
          <w:iCs/>
          <w:color w:val="000000"/>
        </w:rPr>
      </w:pPr>
      <w:r w:rsidRPr="00D431C1">
        <w:rPr>
          <w:i/>
          <w:iCs/>
          <w:color w:val="000000"/>
        </w:rPr>
        <w:t>Requests</w:t>
      </w:r>
      <w:r w:rsidRPr="00D431C1">
        <w:rPr>
          <w:iCs/>
          <w:color w:val="000000"/>
        </w:rPr>
        <w:t xml:space="preserve"> the Secretariat to continue to participate in the activities of the Global Alliance; </w:t>
      </w:r>
    </w:p>
    <w:p w:rsidR="00EF040A" w:rsidRPr="00D431C1" w:rsidRDefault="00EF040A" w:rsidP="00EF040A">
      <w:pPr>
        <w:pStyle w:val="Normal-pool"/>
        <w:numPr>
          <w:ilvl w:val="0"/>
          <w:numId w:val="1"/>
        </w:numPr>
        <w:tabs>
          <w:tab w:val="clear" w:pos="720"/>
          <w:tab w:val="clear" w:pos="1247"/>
          <w:tab w:val="clear" w:pos="1814"/>
          <w:tab w:val="clear" w:pos="2381"/>
          <w:tab w:val="clear" w:pos="2948"/>
          <w:tab w:val="clear" w:pos="3515"/>
          <w:tab w:val="clear" w:pos="4082"/>
        </w:tabs>
        <w:spacing w:after="120"/>
        <w:ind w:left="1247" w:firstLine="624"/>
        <w:rPr>
          <w:iCs/>
          <w:color w:val="000000"/>
        </w:rPr>
      </w:pPr>
      <w:r w:rsidRPr="00D431C1">
        <w:rPr>
          <w:i/>
          <w:iCs/>
          <w:color w:val="000000"/>
        </w:rPr>
        <w:t>Invites</w:t>
      </w:r>
      <w:r w:rsidRPr="00D431C1">
        <w:rPr>
          <w:iCs/>
          <w:color w:val="000000"/>
        </w:rPr>
        <w:t xml:space="preserve"> Parties and others to continue to provide technical and financial resources to support the implementation of the activities of the Global Alliance, including the activities set out in the road map.</w:t>
      </w:r>
    </w:p>
    <w:p w:rsidR="00EE16C0" w:rsidRDefault="00EE16C0"/>
    <w:sectPr w:rsidR="00EE16C0" w:rsidSect="00EE16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523" w:rsidRDefault="00D60523" w:rsidP="00EF040A">
      <w:r>
        <w:separator/>
      </w:r>
    </w:p>
  </w:endnote>
  <w:endnote w:type="continuationSeparator" w:id="0">
    <w:p w:rsidR="00D60523" w:rsidRDefault="00D60523" w:rsidP="00EF04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523" w:rsidRDefault="00D60523" w:rsidP="00EF040A">
      <w:r>
        <w:separator/>
      </w:r>
    </w:p>
  </w:footnote>
  <w:footnote w:type="continuationSeparator" w:id="0">
    <w:p w:rsidR="00D60523" w:rsidRDefault="00D60523" w:rsidP="00EF040A">
      <w:r>
        <w:continuationSeparator/>
      </w:r>
    </w:p>
  </w:footnote>
  <w:footnote w:id="1">
    <w:p w:rsidR="00EF040A" w:rsidRPr="00092F5F" w:rsidRDefault="00EF040A" w:rsidP="00EF040A">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UNEP/POPS/COP.8/INF/6, </w:t>
      </w:r>
      <w:proofErr w:type="spellStart"/>
      <w:r w:rsidRPr="00092F5F">
        <w:rPr>
          <w:sz w:val="18"/>
          <w:szCs w:val="18"/>
        </w:rPr>
        <w:t>annex</w:t>
      </w:r>
      <w:proofErr w:type="spellEnd"/>
      <w:r w:rsidRPr="00092F5F">
        <w:rPr>
          <w:sz w:val="18"/>
          <w:szCs w:val="18"/>
        </w:rPr>
        <w:t xml:space="preserve"> I; UNEP/POPS/COP.8/5, </w:t>
      </w:r>
      <w:proofErr w:type="spellStart"/>
      <w:r w:rsidRPr="00092F5F">
        <w:rPr>
          <w:sz w:val="18"/>
          <w:szCs w:val="18"/>
        </w:rPr>
        <w:t>annex</w:t>
      </w:r>
      <w:proofErr w:type="spellEnd"/>
      <w:r w:rsidRPr="00092F5F">
        <w:rPr>
          <w:sz w:val="18"/>
          <w:szCs w:val="18"/>
        </w:rPr>
        <w:t>.</w:t>
      </w:r>
    </w:p>
  </w:footnote>
  <w:footnote w:id="2">
    <w:p w:rsidR="00EF040A" w:rsidRPr="00092F5F" w:rsidRDefault="00EF040A" w:rsidP="00EF040A">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UNEP/POPS/COP.8/INF/8.</w:t>
      </w:r>
    </w:p>
  </w:footnote>
  <w:footnote w:id="3">
    <w:p w:rsidR="00EF040A" w:rsidRPr="00092F5F" w:rsidRDefault="00EF040A" w:rsidP="00EF040A">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UNEP/POPS/COP.8/INF/9.</w:t>
      </w:r>
    </w:p>
  </w:footnote>
  <w:footnote w:id="4">
    <w:p w:rsidR="00EF040A" w:rsidRPr="00092F5F" w:rsidRDefault="00EF040A" w:rsidP="00EF040A">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UNEP/POPS/COP.8/INF/7.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A0193"/>
    <w:multiLevelType w:val="multilevel"/>
    <w:tmpl w:val="501CD11A"/>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lowerLetter"/>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F040A"/>
    <w:rsid w:val="00D60523"/>
    <w:rsid w:val="00EE16C0"/>
    <w:rsid w:val="00EF0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0A"/>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_pool"/>
    <w:link w:val="NormalpoolChar"/>
    <w:rsid w:val="00EF040A"/>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rPr>
  </w:style>
  <w:style w:type="paragraph" w:customStyle="1" w:styleId="Normal-pool">
    <w:name w:val="Normal-pool"/>
    <w:link w:val="Normal-poolChar"/>
    <w:rsid w:val="00EF040A"/>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EF040A"/>
    <w:rPr>
      <w:rFonts w:ascii="Times New Roman" w:hAnsi="Times New Roman" w:cs="Times New Roman"/>
      <w:color w:val="auto"/>
      <w:sz w:val="18"/>
      <w:vertAlign w:val="superscript"/>
    </w:rPr>
  </w:style>
  <w:style w:type="character" w:customStyle="1" w:styleId="Normal-poolChar">
    <w:name w:val="Normal-pool Char"/>
    <w:link w:val="Normal-pool"/>
    <w:locked/>
    <w:rsid w:val="00EF040A"/>
    <w:rPr>
      <w:rFonts w:ascii="Times New Roman" w:eastAsia="Times New Roman" w:hAnsi="Times New Roman" w:cs="Times New Roman"/>
      <w:sz w:val="20"/>
      <w:szCs w:val="20"/>
      <w:lang w:val="en-GB"/>
    </w:rPr>
  </w:style>
  <w:style w:type="character" w:customStyle="1" w:styleId="NormalpoolChar">
    <w:name w:val="Normal_pool Char"/>
    <w:link w:val="Normalpool"/>
    <w:rsid w:val="00EF040A"/>
    <w:rPr>
      <w:rFonts w:ascii="Times New Roman" w:eastAsia="Times New Roman" w:hAnsi="Times New Roman" w:cs="Times New Roman"/>
      <w:sz w:val="20"/>
      <w:szCs w:val="20"/>
      <w:lang w:val="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3507</Characters>
  <Application>Microsoft Office Word</Application>
  <DocSecurity>0</DocSecurity>
  <Lines>29</Lines>
  <Paragraphs>8</Paragraphs>
  <ScaleCrop>false</ScaleCrop>
  <Company>BRS</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2018-02-02T13:43:00Z</dcterms:created>
  <dcterms:modified xsi:type="dcterms:W3CDTF">2018-02-02T13:43:00Z</dcterms:modified>
</cp:coreProperties>
</file>