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46" w:rsidRPr="00D431C1" w:rsidRDefault="00E03646" w:rsidP="00E03646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191"/>
        <w:rPr>
          <w:i/>
        </w:rPr>
      </w:pPr>
      <w:r w:rsidRPr="00D431C1">
        <w:rPr>
          <w:b/>
          <w:sz w:val="28"/>
          <w:szCs w:val="28"/>
        </w:rPr>
        <w:t>SC-8/1: Exemptions</w:t>
      </w:r>
    </w:p>
    <w:p w:rsidR="00E03646" w:rsidRPr="00D431C1" w:rsidRDefault="00E03646" w:rsidP="00E03646">
      <w:pPr>
        <w:tabs>
          <w:tab w:val="left" w:pos="624"/>
        </w:tabs>
        <w:autoSpaceDE w:val="0"/>
        <w:autoSpaceDN w:val="0"/>
        <w:adjustRightInd w:val="0"/>
        <w:spacing w:after="120"/>
        <w:ind w:left="1219" w:firstLine="624"/>
        <w:rPr>
          <w:i/>
          <w:iCs/>
          <w:sz w:val="20"/>
        </w:rPr>
      </w:pPr>
      <w:r w:rsidRPr="00D431C1">
        <w:rPr>
          <w:i/>
          <w:iCs/>
          <w:sz w:val="20"/>
        </w:rPr>
        <w:t>The Conference of the Parties,</w:t>
      </w:r>
    </w:p>
    <w:p w:rsidR="00E03646" w:rsidRPr="00D431C1" w:rsidRDefault="00E03646" w:rsidP="00E03646">
      <w:pPr>
        <w:tabs>
          <w:tab w:val="left" w:pos="624"/>
        </w:tabs>
        <w:autoSpaceDE w:val="0"/>
        <w:autoSpaceDN w:val="0"/>
        <w:adjustRightInd w:val="0"/>
        <w:spacing w:after="120"/>
        <w:ind w:left="1219" w:firstLine="624"/>
        <w:rPr>
          <w:iCs/>
          <w:sz w:val="20"/>
        </w:rPr>
      </w:pPr>
      <w:r w:rsidRPr="00D431C1">
        <w:rPr>
          <w:i/>
          <w:iCs/>
          <w:sz w:val="20"/>
        </w:rPr>
        <w:t>Noting</w:t>
      </w:r>
      <w:r w:rsidRPr="00D431C1">
        <w:t xml:space="preserve"> </w:t>
      </w:r>
      <w:r w:rsidRPr="00D431C1">
        <w:rPr>
          <w:iCs/>
          <w:sz w:val="20"/>
        </w:rPr>
        <w:t>the priority areas for action recognized in decision SC-8/18 on effectiveness evaluation as they relate to Article 4 of the Stockholm Convention on Persistent Organic Pollutants and relevant parts of Annexes A and B to the Convention,</w:t>
      </w:r>
    </w:p>
    <w:p w:rsidR="00E03646" w:rsidRPr="00D431C1" w:rsidRDefault="00E03646" w:rsidP="00E03646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215"/>
          <w:tab w:val="clear" w:pos="3515"/>
          <w:tab w:val="clear" w:pos="4082"/>
          <w:tab w:val="left" w:pos="624"/>
        </w:tabs>
        <w:spacing w:after="120"/>
        <w:ind w:left="1219" w:firstLine="624"/>
      </w:pPr>
      <w:r w:rsidRPr="00D431C1">
        <w:rPr>
          <w:i/>
        </w:rPr>
        <w:t>Encourages</w:t>
      </w:r>
      <w:r w:rsidRPr="00D431C1">
        <w:t xml:space="preserve"> Parties to continue to assess in a timely manner the need for exemptions, in particular after the adoption of decisions by the Conference of the Parties to amend Annex A or Annex B to the Convention;</w:t>
      </w:r>
    </w:p>
    <w:p w:rsidR="00E03646" w:rsidRPr="00D431C1" w:rsidRDefault="00E03646" w:rsidP="00E03646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215"/>
          <w:tab w:val="clear" w:pos="3515"/>
          <w:tab w:val="clear" w:pos="4082"/>
          <w:tab w:val="left" w:pos="624"/>
        </w:tabs>
        <w:spacing w:after="120"/>
        <w:ind w:left="1219" w:firstLine="624"/>
      </w:pPr>
      <w:r w:rsidRPr="00D431C1">
        <w:rPr>
          <w:i/>
        </w:rPr>
        <w:t xml:space="preserve">Reminds </w:t>
      </w:r>
      <w:r w:rsidRPr="00D431C1">
        <w:t xml:space="preserve">Parties that may wish to register specific exemptions, acceptable purposes, chemicals occurring as constituents of articles, or the production and use of chemicals as </w:t>
      </w:r>
      <w:r>
        <w:br/>
      </w:r>
      <w:r w:rsidRPr="00D431C1">
        <w:t>closed-system site-limited intermediates that are currently available to so notify the Secretariat using the relevant forms;</w:t>
      </w:r>
      <w:r w:rsidRPr="00D431C1">
        <w:rPr>
          <w:rStyle w:val="FootnoteReference"/>
        </w:rPr>
        <w:footnoteReference w:id="1"/>
      </w:r>
    </w:p>
    <w:p w:rsidR="00E03646" w:rsidRPr="00D431C1" w:rsidRDefault="00E03646" w:rsidP="00E03646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215"/>
          <w:tab w:val="clear" w:pos="3515"/>
          <w:tab w:val="clear" w:pos="4082"/>
          <w:tab w:val="left" w:pos="624"/>
        </w:tabs>
        <w:spacing w:after="120"/>
        <w:ind w:left="1219" w:firstLine="624"/>
      </w:pPr>
      <w:r w:rsidRPr="00D431C1">
        <w:rPr>
          <w:i/>
        </w:rPr>
        <w:t xml:space="preserve">Requests </w:t>
      </w:r>
      <w:r w:rsidRPr="00D431C1">
        <w:rPr>
          <w:iCs/>
        </w:rPr>
        <w:t>the</w:t>
      </w:r>
      <w:r w:rsidRPr="00D431C1">
        <w:rPr>
          <w:i/>
        </w:rPr>
        <w:t xml:space="preserve"> </w:t>
      </w:r>
      <w:r w:rsidRPr="00D431C1">
        <w:rPr>
          <w:iCs/>
        </w:rPr>
        <w:t>Secretariat to continue to maintain and update the forms, registers and related information as appropriate so as to ensure that information is easily accessible to Parties and other stakeholders;</w:t>
      </w:r>
    </w:p>
    <w:p w:rsidR="00E03646" w:rsidRPr="00D431C1" w:rsidRDefault="00E03646" w:rsidP="00E03646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215"/>
          <w:tab w:val="clear" w:pos="3515"/>
          <w:tab w:val="clear" w:pos="4082"/>
          <w:tab w:val="left" w:pos="624"/>
        </w:tabs>
        <w:spacing w:after="120"/>
        <w:ind w:left="1191" w:firstLine="624"/>
      </w:pPr>
      <w:r>
        <w:rPr>
          <w:i/>
        </w:rPr>
        <w:t>Also r</w:t>
      </w:r>
      <w:r w:rsidRPr="00D431C1">
        <w:rPr>
          <w:i/>
        </w:rPr>
        <w:t>equests</w:t>
      </w:r>
      <w:r w:rsidRPr="00D431C1">
        <w:t xml:space="preserve"> the Secretariat to continue to assist Parties in their efforts to implement the provisions of the Convention related to specific exemptions and acceptable purposes. </w:t>
      </w:r>
    </w:p>
    <w:p w:rsidR="00EE16C0" w:rsidRDefault="00EE16C0"/>
    <w:sectPr w:rsidR="00EE16C0" w:rsidSect="00EE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6ED" w:rsidRDefault="007856ED" w:rsidP="00E03646">
      <w:r>
        <w:separator/>
      </w:r>
    </w:p>
  </w:endnote>
  <w:endnote w:type="continuationSeparator" w:id="0">
    <w:p w:rsidR="007856ED" w:rsidRDefault="007856ED" w:rsidP="00E03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6ED" w:rsidRDefault="007856ED" w:rsidP="00E03646">
      <w:r>
        <w:separator/>
      </w:r>
    </w:p>
  </w:footnote>
  <w:footnote w:type="continuationSeparator" w:id="0">
    <w:p w:rsidR="007856ED" w:rsidRDefault="007856ED" w:rsidP="00E03646">
      <w:r>
        <w:continuationSeparator/>
      </w:r>
    </w:p>
  </w:footnote>
  <w:footnote w:id="1">
    <w:p w:rsidR="00E03646" w:rsidRPr="00092F5F" w:rsidRDefault="00E03646" w:rsidP="00E03646">
      <w:pPr>
        <w:pStyle w:val="Normalpool"/>
        <w:tabs>
          <w:tab w:val="left" w:pos="624"/>
        </w:tabs>
        <w:spacing w:before="20" w:after="20"/>
        <w:ind w:left="1247" w:right="57"/>
        <w:rPr>
          <w:sz w:val="18"/>
          <w:szCs w:val="18"/>
        </w:rPr>
      </w:pPr>
      <w:r w:rsidRPr="00092F5F">
        <w:rPr>
          <w:rStyle w:val="FootnoteReference"/>
          <w:szCs w:val="18"/>
        </w:rPr>
        <w:footnoteRef/>
      </w:r>
      <w:r w:rsidRPr="00092F5F">
        <w:rPr>
          <w:sz w:val="18"/>
          <w:szCs w:val="18"/>
        </w:rPr>
        <w:t xml:space="preserve"> As set out in </w:t>
      </w:r>
      <w:proofErr w:type="spellStart"/>
      <w:r w:rsidRPr="00092F5F">
        <w:rPr>
          <w:sz w:val="18"/>
          <w:szCs w:val="18"/>
        </w:rPr>
        <w:t>annex</w:t>
      </w:r>
      <w:proofErr w:type="spellEnd"/>
      <w:r w:rsidRPr="00092F5F">
        <w:rPr>
          <w:sz w:val="18"/>
          <w:szCs w:val="18"/>
        </w:rPr>
        <w:t xml:space="preserve"> III to the report of the </w:t>
      </w:r>
      <w:proofErr w:type="spellStart"/>
      <w:r w:rsidRPr="00092F5F">
        <w:rPr>
          <w:sz w:val="18"/>
          <w:szCs w:val="18"/>
        </w:rPr>
        <w:t>Conference</w:t>
      </w:r>
      <w:proofErr w:type="spellEnd"/>
      <w:r w:rsidRPr="00092F5F">
        <w:rPr>
          <w:sz w:val="18"/>
          <w:szCs w:val="18"/>
        </w:rPr>
        <w:t xml:space="preserve"> of the Parties on the </w:t>
      </w:r>
      <w:proofErr w:type="spellStart"/>
      <w:r w:rsidRPr="00092F5F">
        <w:rPr>
          <w:sz w:val="18"/>
          <w:szCs w:val="18"/>
        </w:rPr>
        <w:t>work</w:t>
      </w:r>
      <w:proofErr w:type="spellEnd"/>
      <w:r w:rsidRPr="00092F5F">
        <w:rPr>
          <w:sz w:val="18"/>
          <w:szCs w:val="18"/>
        </w:rPr>
        <w:t xml:space="preserve"> of </w:t>
      </w:r>
      <w:proofErr w:type="spellStart"/>
      <w:r w:rsidRPr="00092F5F">
        <w:rPr>
          <w:sz w:val="18"/>
          <w:szCs w:val="18"/>
        </w:rPr>
        <w:t>its</w:t>
      </w:r>
      <w:proofErr w:type="spellEnd"/>
      <w:r w:rsidRPr="00092F5F">
        <w:rPr>
          <w:sz w:val="18"/>
          <w:szCs w:val="18"/>
        </w:rPr>
        <w:t xml:space="preserve"> second meeting (UNEP/POPS/COP.2/30) and the annexes to </w:t>
      </w:r>
      <w:proofErr w:type="spellStart"/>
      <w:r w:rsidRPr="00092F5F">
        <w:rPr>
          <w:sz w:val="18"/>
          <w:szCs w:val="18"/>
        </w:rPr>
        <w:t>its</w:t>
      </w:r>
      <w:proofErr w:type="spellEnd"/>
      <w:r w:rsidRPr="00092F5F">
        <w:rPr>
          <w:sz w:val="18"/>
          <w:szCs w:val="18"/>
        </w:rPr>
        <w:t xml:space="preserve"> </w:t>
      </w:r>
      <w:proofErr w:type="spellStart"/>
      <w:r w:rsidRPr="00092F5F">
        <w:rPr>
          <w:sz w:val="18"/>
          <w:szCs w:val="18"/>
        </w:rPr>
        <w:t>decisions</w:t>
      </w:r>
      <w:proofErr w:type="spellEnd"/>
      <w:r w:rsidRPr="00092F5F">
        <w:rPr>
          <w:sz w:val="18"/>
          <w:szCs w:val="18"/>
        </w:rPr>
        <w:t xml:space="preserve"> SC-1/23, SC-1/25, SC-5/8 and SC-6/2.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40286"/>
    <w:multiLevelType w:val="hybridMultilevel"/>
    <w:tmpl w:val="C18245C4"/>
    <w:lvl w:ilvl="0" w:tplc="100C000F">
      <w:start w:val="1"/>
      <w:numFmt w:val="decimal"/>
      <w:lvlText w:val="%1."/>
      <w:lvlJc w:val="left"/>
      <w:pPr>
        <w:tabs>
          <w:tab w:val="num" w:pos="3215"/>
        </w:tabs>
        <w:ind w:left="3215" w:hanging="360"/>
      </w:pPr>
      <w:rPr>
        <w:i w:val="0"/>
      </w:rPr>
    </w:lvl>
    <w:lvl w:ilvl="1" w:tplc="0E1EEDD8">
      <w:start w:val="1"/>
      <w:numFmt w:val="lowerLetter"/>
      <w:lvlText w:val="%2."/>
      <w:lvlJc w:val="left"/>
      <w:pPr>
        <w:tabs>
          <w:tab w:val="num" w:pos="3935"/>
        </w:tabs>
        <w:ind w:left="393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55"/>
        </w:tabs>
        <w:ind w:left="46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75"/>
        </w:tabs>
        <w:ind w:left="5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95"/>
        </w:tabs>
        <w:ind w:left="6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15"/>
        </w:tabs>
        <w:ind w:left="6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35"/>
        </w:tabs>
        <w:ind w:left="7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55"/>
        </w:tabs>
        <w:ind w:left="8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75"/>
        </w:tabs>
        <w:ind w:left="897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646"/>
    <w:rsid w:val="007856ED"/>
    <w:rsid w:val="00E03646"/>
    <w:rsid w:val="00EE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4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ool">
    <w:name w:val="Normal_pool"/>
    <w:link w:val="NormalpoolChar"/>
    <w:rsid w:val="00E03646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Normal-pool">
    <w:name w:val="Normal-pool"/>
    <w:link w:val="Normal-poolChar"/>
    <w:rsid w:val="00E03646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aliases w:val="16 Point,Superscript 6 Point,ftref,(Ref. de nota al pie),number,SUPERS,Footnote Reference Superscript,Footnote Reference1,Ref,de nota al pie,註腳內容,de nota al pie + (Asian) MS Mincho,11 pt,Ref. de nota de rodapé1"/>
    <w:uiPriority w:val="99"/>
    <w:rsid w:val="00E03646"/>
    <w:rPr>
      <w:rFonts w:ascii="Times New Roman" w:hAnsi="Times New Roman" w:cs="Times New Roman"/>
      <w:color w:val="auto"/>
      <w:sz w:val="18"/>
      <w:vertAlign w:val="superscript"/>
    </w:rPr>
  </w:style>
  <w:style w:type="character" w:customStyle="1" w:styleId="Normal-poolChar">
    <w:name w:val="Normal-pool Char"/>
    <w:link w:val="Normal-pool"/>
    <w:locked/>
    <w:rsid w:val="00E03646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NormalpoolChar">
    <w:name w:val="Normal_pool Char"/>
    <w:link w:val="Normalpool"/>
    <w:rsid w:val="00E03646"/>
    <w:rPr>
      <w:rFonts w:ascii="Times New Roman" w:eastAsia="Times New Roman" w:hAnsi="Times New Roman" w:cs="Times New Roman"/>
      <w:sz w:val="20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>BRS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achakwera</dc:creator>
  <cp:lastModifiedBy>achakwera</cp:lastModifiedBy>
  <cp:revision>1</cp:revision>
  <dcterms:created xsi:type="dcterms:W3CDTF">2018-02-02T13:42:00Z</dcterms:created>
  <dcterms:modified xsi:type="dcterms:W3CDTF">2018-02-02T13:43:00Z</dcterms:modified>
</cp:coreProperties>
</file>