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114" w:rsidRPr="007F0114" w:rsidRDefault="007F0114" w:rsidP="007F0114">
      <w:pPr>
        <w:tabs>
          <w:tab w:val="left" w:pos="1247"/>
          <w:tab w:val="left" w:pos="1814"/>
          <w:tab w:val="left" w:pos="2381"/>
          <w:tab w:val="left" w:pos="2948"/>
          <w:tab w:val="left" w:pos="3515"/>
        </w:tabs>
        <w:suppressAutoHyphens/>
        <w:spacing w:before="320" w:after="240"/>
        <w:ind w:left="1247" w:right="567"/>
        <w:rPr>
          <w:b/>
          <w:sz w:val="28"/>
          <w:szCs w:val="28"/>
        </w:rPr>
      </w:pPr>
      <w:r w:rsidRPr="007F0114">
        <w:rPr>
          <w:b/>
          <w:sz w:val="28"/>
          <w:szCs w:val="28"/>
        </w:rPr>
        <w:t>SC-8/8: Implementation plans</w:t>
      </w:r>
    </w:p>
    <w:p w:rsidR="007F0114" w:rsidRPr="007F0114" w:rsidRDefault="007F0114" w:rsidP="007F0114">
      <w:pPr>
        <w:tabs>
          <w:tab w:val="left" w:pos="2410"/>
        </w:tabs>
        <w:spacing w:after="120"/>
        <w:ind w:left="1247" w:firstLine="624"/>
        <w:rPr>
          <w:iCs/>
          <w:sz w:val="20"/>
        </w:rPr>
      </w:pPr>
      <w:r w:rsidRPr="007F0114">
        <w:rPr>
          <w:i/>
          <w:iCs/>
          <w:sz w:val="20"/>
        </w:rPr>
        <w:t>The Conference of the Parties</w:t>
      </w:r>
      <w:r w:rsidRPr="007F0114">
        <w:rPr>
          <w:iCs/>
          <w:sz w:val="20"/>
        </w:rPr>
        <w:t>,</w:t>
      </w:r>
    </w:p>
    <w:p w:rsidR="007F0114" w:rsidRPr="007F0114" w:rsidRDefault="007F0114" w:rsidP="007F0114">
      <w:pPr>
        <w:pStyle w:val="Normalnumber"/>
        <w:tabs>
          <w:tab w:val="left" w:pos="624"/>
        </w:tabs>
        <w:ind w:left="1247" w:firstLine="624"/>
        <w:rPr>
          <w:rFonts w:ascii="Times New Roman" w:hAnsi="Times New Roman" w:cs="Times New Roman"/>
          <w:sz w:val="20"/>
          <w:szCs w:val="20"/>
          <w:lang w:val="en-GB"/>
        </w:rPr>
      </w:pPr>
      <w:r w:rsidRPr="007F0114">
        <w:rPr>
          <w:rFonts w:ascii="Times New Roman" w:hAnsi="Times New Roman" w:cs="Times New Roman"/>
          <w:i/>
          <w:iCs/>
          <w:sz w:val="20"/>
          <w:szCs w:val="20"/>
          <w:lang w:val="en-GB"/>
        </w:rPr>
        <w:t>Noting</w:t>
      </w:r>
      <w:r w:rsidRPr="007F0114">
        <w:rPr>
          <w:rFonts w:ascii="Times New Roman" w:hAnsi="Times New Roman" w:cs="Times New Roman"/>
          <w:sz w:val="20"/>
          <w:szCs w:val="20"/>
          <w:lang w:val="en-GB"/>
        </w:rPr>
        <w:t xml:space="preserve"> the </w:t>
      </w:r>
      <w:r w:rsidRPr="007F0114">
        <w:rPr>
          <w:rFonts w:ascii="Times New Roman" w:hAnsi="Times New Roman" w:cs="Times New Roman"/>
          <w:iCs/>
          <w:color w:val="000000"/>
          <w:sz w:val="20"/>
          <w:szCs w:val="20"/>
          <w:lang w:val="en-GB"/>
        </w:rPr>
        <w:t>priority areas for action</w:t>
      </w:r>
      <w:r w:rsidRPr="007F0114">
        <w:rPr>
          <w:rFonts w:ascii="Times New Roman" w:hAnsi="Times New Roman" w:cs="Times New Roman"/>
          <w:sz w:val="20"/>
          <w:szCs w:val="20"/>
          <w:lang w:val="en-GB"/>
        </w:rPr>
        <w:t xml:space="preserve"> recognized in decision SC-8/18 on effectiveness evaluation as they relate to implementation plans,</w:t>
      </w:r>
    </w:p>
    <w:p w:rsidR="007F0114" w:rsidRPr="007F0114" w:rsidRDefault="007F0114" w:rsidP="007F0114">
      <w:pPr>
        <w:pStyle w:val="Normalnumber"/>
        <w:numPr>
          <w:ilvl w:val="0"/>
          <w:numId w:val="3"/>
        </w:numPr>
        <w:tabs>
          <w:tab w:val="clear" w:pos="1247"/>
          <w:tab w:val="clear" w:pos="1814"/>
          <w:tab w:val="clear" w:pos="2381"/>
          <w:tab w:val="clear" w:pos="2948"/>
          <w:tab w:val="clear" w:pos="3515"/>
          <w:tab w:val="clear" w:pos="4082"/>
          <w:tab w:val="left" w:pos="2410"/>
        </w:tabs>
        <w:ind w:firstLine="624"/>
        <w:rPr>
          <w:rFonts w:ascii="Times New Roman" w:hAnsi="Times New Roman" w:cs="Times New Roman"/>
          <w:color w:val="000000"/>
          <w:sz w:val="20"/>
          <w:szCs w:val="20"/>
          <w:lang w:val="en-GB"/>
        </w:rPr>
      </w:pPr>
      <w:r w:rsidRPr="007F0114">
        <w:rPr>
          <w:rFonts w:ascii="Times New Roman" w:hAnsi="Times New Roman" w:cs="Times New Roman"/>
          <w:i/>
          <w:iCs/>
          <w:color w:val="000000"/>
          <w:sz w:val="20"/>
          <w:szCs w:val="20"/>
          <w:lang w:val="en-GB"/>
        </w:rPr>
        <w:t>Welcomes</w:t>
      </w:r>
      <w:r w:rsidRPr="007F0114">
        <w:rPr>
          <w:rFonts w:ascii="Times New Roman" w:hAnsi="Times New Roman" w:cs="Times New Roman"/>
          <w:color w:val="000000"/>
          <w:sz w:val="20"/>
          <w:szCs w:val="20"/>
          <w:lang w:val="en-GB"/>
        </w:rPr>
        <w:t xml:space="preserve"> the </w:t>
      </w:r>
      <w:r w:rsidRPr="007F0114">
        <w:rPr>
          <w:rFonts w:ascii="Times New Roman" w:hAnsi="Times New Roman" w:cs="Times New Roman"/>
          <w:sz w:val="20"/>
          <w:szCs w:val="20"/>
          <w:lang w:val="en-GB"/>
        </w:rPr>
        <w:t>additional</w:t>
      </w:r>
      <w:r w:rsidRPr="007F0114">
        <w:rPr>
          <w:rFonts w:ascii="Times New Roman" w:hAnsi="Times New Roman" w:cs="Times New Roman"/>
          <w:color w:val="000000"/>
          <w:sz w:val="20"/>
          <w:szCs w:val="20"/>
          <w:lang w:val="en-GB"/>
        </w:rPr>
        <w:t xml:space="preserve"> implementation plans transmitted by Parties pursuant to Article 7 of the Stockholm Convention, including revised and updated plans;</w:t>
      </w:r>
      <w:r w:rsidRPr="007F0114">
        <w:rPr>
          <w:rStyle w:val="footnote"/>
          <w:rFonts w:cs="Times New Roman"/>
          <w:sz w:val="20"/>
          <w:szCs w:val="20"/>
          <w:lang w:val="en-GB"/>
        </w:rPr>
        <w:footnoteReference w:id="1"/>
      </w:r>
      <w:r w:rsidRPr="007F0114">
        <w:rPr>
          <w:rFonts w:ascii="Times New Roman" w:hAnsi="Times New Roman" w:cs="Times New Roman"/>
          <w:color w:val="000000"/>
          <w:sz w:val="20"/>
          <w:szCs w:val="20"/>
          <w:lang w:val="en-GB"/>
        </w:rPr>
        <w:t xml:space="preserve"> </w:t>
      </w:r>
    </w:p>
    <w:p w:rsidR="007F0114" w:rsidRPr="007F0114" w:rsidRDefault="007F0114" w:rsidP="007F0114">
      <w:pPr>
        <w:pStyle w:val="Normalnumber"/>
        <w:numPr>
          <w:ilvl w:val="0"/>
          <w:numId w:val="3"/>
        </w:numPr>
        <w:tabs>
          <w:tab w:val="clear" w:pos="1247"/>
          <w:tab w:val="clear" w:pos="1814"/>
          <w:tab w:val="clear" w:pos="2381"/>
          <w:tab w:val="clear" w:pos="2948"/>
          <w:tab w:val="clear" w:pos="3515"/>
          <w:tab w:val="clear" w:pos="4082"/>
          <w:tab w:val="left" w:pos="2410"/>
        </w:tabs>
        <w:ind w:firstLine="624"/>
        <w:rPr>
          <w:rFonts w:ascii="Times New Roman" w:hAnsi="Times New Roman" w:cs="Times New Roman"/>
          <w:i/>
          <w:iCs/>
          <w:sz w:val="20"/>
          <w:szCs w:val="20"/>
          <w:lang w:val="en-GB"/>
        </w:rPr>
      </w:pPr>
      <w:r w:rsidRPr="007F0114">
        <w:rPr>
          <w:rFonts w:ascii="Times New Roman" w:hAnsi="Times New Roman" w:cs="Times New Roman"/>
          <w:i/>
          <w:iCs/>
          <w:color w:val="000000"/>
          <w:sz w:val="20"/>
          <w:szCs w:val="20"/>
          <w:lang w:val="en-GB"/>
        </w:rPr>
        <w:t>Takes note</w:t>
      </w:r>
      <w:r w:rsidRPr="007F0114">
        <w:rPr>
          <w:rFonts w:ascii="Times New Roman" w:hAnsi="Times New Roman" w:cs="Times New Roman"/>
          <w:color w:val="000000"/>
          <w:sz w:val="20"/>
          <w:szCs w:val="20"/>
          <w:lang w:val="en-GB"/>
        </w:rPr>
        <w:t xml:space="preserve"> of the </w:t>
      </w:r>
      <w:r w:rsidRPr="007F0114">
        <w:rPr>
          <w:rFonts w:ascii="Times New Roman" w:hAnsi="Times New Roman" w:cs="Times New Roman"/>
          <w:sz w:val="20"/>
          <w:szCs w:val="20"/>
          <w:lang w:val="en-GB"/>
        </w:rPr>
        <w:t>deadlines</w:t>
      </w:r>
      <w:r w:rsidRPr="007F0114">
        <w:rPr>
          <w:rFonts w:ascii="Times New Roman" w:hAnsi="Times New Roman" w:cs="Times New Roman"/>
          <w:color w:val="000000"/>
          <w:sz w:val="20"/>
          <w:szCs w:val="20"/>
          <w:lang w:val="en-GB"/>
        </w:rPr>
        <w:t xml:space="preserve"> </w:t>
      </w:r>
      <w:r w:rsidRPr="007F0114">
        <w:rPr>
          <w:rFonts w:ascii="Times New Roman" w:hAnsi="Times New Roman" w:cs="Times New Roman"/>
          <w:sz w:val="20"/>
          <w:szCs w:val="20"/>
          <w:lang w:val="en-GB"/>
        </w:rPr>
        <w:t>for</w:t>
      </w:r>
      <w:r w:rsidRPr="007F0114">
        <w:rPr>
          <w:rFonts w:ascii="Times New Roman" w:hAnsi="Times New Roman" w:cs="Times New Roman"/>
          <w:color w:val="000000"/>
          <w:sz w:val="20"/>
          <w:szCs w:val="20"/>
          <w:lang w:val="en-GB"/>
        </w:rPr>
        <w:t xml:space="preserve"> the transmission of revised and updated implementation plans;</w:t>
      </w:r>
      <w:r w:rsidRPr="007F0114">
        <w:rPr>
          <w:rStyle w:val="footnote"/>
          <w:rFonts w:cs="Times New Roman"/>
          <w:sz w:val="20"/>
          <w:szCs w:val="20"/>
          <w:lang w:val="en-GB"/>
        </w:rPr>
        <w:footnoteReference w:id="2"/>
      </w:r>
      <w:r w:rsidRPr="007F0114">
        <w:rPr>
          <w:rFonts w:ascii="Times New Roman" w:hAnsi="Times New Roman" w:cs="Times New Roman"/>
          <w:color w:val="000000"/>
          <w:sz w:val="20"/>
          <w:szCs w:val="20"/>
          <w:lang w:val="en-GB"/>
        </w:rPr>
        <w:t xml:space="preserve"> </w:t>
      </w:r>
    </w:p>
    <w:p w:rsidR="007F0114" w:rsidRPr="007F0114" w:rsidRDefault="007F0114" w:rsidP="007F0114">
      <w:pPr>
        <w:pStyle w:val="Normalnumber"/>
        <w:numPr>
          <w:ilvl w:val="0"/>
          <w:numId w:val="3"/>
        </w:numPr>
        <w:tabs>
          <w:tab w:val="clear" w:pos="1247"/>
          <w:tab w:val="clear" w:pos="1814"/>
          <w:tab w:val="clear" w:pos="2381"/>
          <w:tab w:val="clear" w:pos="2948"/>
          <w:tab w:val="clear" w:pos="3515"/>
          <w:tab w:val="clear" w:pos="4082"/>
          <w:tab w:val="left" w:pos="2410"/>
        </w:tabs>
        <w:ind w:firstLine="624"/>
        <w:rPr>
          <w:rFonts w:ascii="Times New Roman" w:hAnsi="Times New Roman" w:cs="Times New Roman"/>
          <w:i/>
          <w:iCs/>
          <w:sz w:val="20"/>
          <w:szCs w:val="20"/>
          <w:lang w:val="en-GB"/>
        </w:rPr>
      </w:pPr>
      <w:r w:rsidRPr="007F0114">
        <w:rPr>
          <w:rFonts w:ascii="Times New Roman" w:hAnsi="Times New Roman" w:cs="Times New Roman"/>
          <w:i/>
          <w:iCs/>
          <w:sz w:val="20"/>
          <w:szCs w:val="20"/>
          <w:lang w:val="en-GB"/>
        </w:rPr>
        <w:t>Urges</w:t>
      </w:r>
      <w:r w:rsidRPr="007F0114">
        <w:rPr>
          <w:rFonts w:ascii="Times New Roman" w:hAnsi="Times New Roman" w:cs="Times New Roman"/>
          <w:sz w:val="20"/>
          <w:szCs w:val="20"/>
          <w:lang w:val="en-GB"/>
        </w:rPr>
        <w:t xml:space="preserve"> those P</w:t>
      </w:r>
      <w:r w:rsidRPr="007F0114">
        <w:rPr>
          <w:rFonts w:ascii="Times New Roman" w:hAnsi="Times New Roman" w:cs="Times New Roman"/>
          <w:color w:val="000000"/>
          <w:sz w:val="20"/>
          <w:szCs w:val="20"/>
          <w:lang w:val="en-GB"/>
        </w:rPr>
        <w:t>arties</w:t>
      </w:r>
      <w:r w:rsidRPr="007F0114">
        <w:rPr>
          <w:rFonts w:ascii="Times New Roman" w:hAnsi="Times New Roman" w:cs="Times New Roman"/>
          <w:sz w:val="20"/>
          <w:szCs w:val="20"/>
          <w:lang w:val="en-GB"/>
        </w:rPr>
        <w:t xml:space="preserve"> that have not transmitted their </w:t>
      </w:r>
      <w:r w:rsidRPr="007F0114">
        <w:rPr>
          <w:rFonts w:ascii="Times New Roman" w:hAnsi="Times New Roman" w:cs="Times New Roman"/>
          <w:color w:val="000000"/>
          <w:sz w:val="20"/>
          <w:szCs w:val="20"/>
          <w:lang w:val="en-GB"/>
        </w:rPr>
        <w:t>implementation</w:t>
      </w:r>
      <w:r w:rsidRPr="007F0114">
        <w:rPr>
          <w:rFonts w:ascii="Times New Roman" w:hAnsi="Times New Roman" w:cs="Times New Roman"/>
          <w:sz w:val="20"/>
          <w:szCs w:val="20"/>
          <w:lang w:val="en-GB"/>
        </w:rPr>
        <w:t xml:space="preserve"> plans within the deadlines to transmit them as soon as possible;</w:t>
      </w:r>
    </w:p>
    <w:p w:rsidR="007F0114" w:rsidRPr="007F0114" w:rsidRDefault="007F0114" w:rsidP="007F0114">
      <w:pPr>
        <w:pStyle w:val="Normalnumber"/>
        <w:numPr>
          <w:ilvl w:val="0"/>
          <w:numId w:val="3"/>
        </w:numPr>
        <w:tabs>
          <w:tab w:val="clear" w:pos="1247"/>
          <w:tab w:val="clear" w:pos="1814"/>
          <w:tab w:val="clear" w:pos="2381"/>
          <w:tab w:val="clear" w:pos="2948"/>
          <w:tab w:val="clear" w:pos="3515"/>
          <w:tab w:val="clear" w:pos="4082"/>
          <w:tab w:val="left" w:pos="2410"/>
        </w:tabs>
        <w:ind w:firstLine="624"/>
        <w:rPr>
          <w:rFonts w:ascii="Times New Roman" w:hAnsi="Times New Roman" w:cs="Times New Roman"/>
          <w:sz w:val="20"/>
          <w:szCs w:val="20"/>
          <w:lang w:val="en-GB"/>
        </w:rPr>
      </w:pPr>
      <w:r w:rsidRPr="007F0114">
        <w:rPr>
          <w:rFonts w:ascii="Times New Roman" w:hAnsi="Times New Roman" w:cs="Times New Roman"/>
          <w:i/>
          <w:sz w:val="20"/>
          <w:szCs w:val="20"/>
          <w:lang w:val="en-GB"/>
        </w:rPr>
        <w:t>Takes note</w:t>
      </w:r>
      <w:r w:rsidRPr="007F0114">
        <w:rPr>
          <w:rFonts w:ascii="Times New Roman" w:hAnsi="Times New Roman" w:cs="Times New Roman"/>
          <w:sz w:val="20"/>
          <w:szCs w:val="20"/>
          <w:lang w:val="en-GB"/>
        </w:rPr>
        <w:t xml:space="preserve"> of the following guidance documents:</w:t>
      </w:r>
      <w:r w:rsidRPr="007F0114">
        <w:rPr>
          <w:rStyle w:val="FootnoteReference"/>
          <w:sz w:val="20"/>
          <w:szCs w:val="20"/>
          <w:lang w:val="en-GB"/>
        </w:rPr>
        <w:footnoteReference w:id="3"/>
      </w:r>
    </w:p>
    <w:p w:rsidR="007F0114" w:rsidRPr="007F0114" w:rsidRDefault="007F0114" w:rsidP="007F0114">
      <w:pPr>
        <w:pStyle w:val="Normalnumber"/>
        <w:numPr>
          <w:ilvl w:val="0"/>
          <w:numId w:val="4"/>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sz w:val="20"/>
          <w:szCs w:val="20"/>
          <w:lang w:val="en-GB"/>
        </w:rPr>
      </w:pPr>
      <w:r w:rsidRPr="007F0114">
        <w:rPr>
          <w:rFonts w:ascii="Times New Roman" w:hAnsi="Times New Roman" w:cs="Times New Roman"/>
          <w:sz w:val="20"/>
          <w:szCs w:val="20"/>
          <w:lang w:val="en-GB"/>
        </w:rPr>
        <w:t>Guidance on developing a national implementation plan for the Stockholm Convention on Persistent Organic Pollutants;</w:t>
      </w:r>
    </w:p>
    <w:p w:rsidR="007F0114" w:rsidRPr="007F0114" w:rsidRDefault="007F0114" w:rsidP="007F0114">
      <w:pPr>
        <w:pStyle w:val="Normalnumber"/>
        <w:numPr>
          <w:ilvl w:val="0"/>
          <w:numId w:val="4"/>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sz w:val="20"/>
          <w:szCs w:val="20"/>
          <w:lang w:val="en-GB"/>
        </w:rPr>
      </w:pPr>
      <w:r w:rsidRPr="007F0114">
        <w:rPr>
          <w:rFonts w:ascii="Times New Roman" w:hAnsi="Times New Roman" w:cs="Times New Roman"/>
          <w:sz w:val="20"/>
          <w:szCs w:val="20"/>
          <w:lang w:val="en-GB"/>
        </w:rPr>
        <w:t xml:space="preserve">Guidance on preparing inventories of </w:t>
      </w:r>
      <w:proofErr w:type="spellStart"/>
      <w:r w:rsidRPr="007F0114">
        <w:rPr>
          <w:rFonts w:ascii="Times New Roman" w:hAnsi="Times New Roman" w:cs="Times New Roman"/>
          <w:sz w:val="20"/>
          <w:szCs w:val="20"/>
          <w:lang w:val="en-GB"/>
        </w:rPr>
        <w:t>perfluorooctane</w:t>
      </w:r>
      <w:proofErr w:type="spellEnd"/>
      <w:r w:rsidRPr="007F0114">
        <w:rPr>
          <w:rFonts w:ascii="Times New Roman" w:hAnsi="Times New Roman" w:cs="Times New Roman"/>
          <w:sz w:val="20"/>
          <w:szCs w:val="20"/>
          <w:lang w:val="en-GB"/>
        </w:rPr>
        <w:t xml:space="preserve"> </w:t>
      </w:r>
      <w:proofErr w:type="spellStart"/>
      <w:r w:rsidRPr="007F0114">
        <w:rPr>
          <w:rFonts w:ascii="Times New Roman" w:hAnsi="Times New Roman" w:cs="Times New Roman"/>
          <w:sz w:val="20"/>
          <w:szCs w:val="20"/>
          <w:lang w:val="en-GB"/>
        </w:rPr>
        <w:t>sulfonic</w:t>
      </w:r>
      <w:proofErr w:type="spellEnd"/>
      <w:r w:rsidRPr="007F0114">
        <w:rPr>
          <w:rFonts w:ascii="Times New Roman" w:hAnsi="Times New Roman" w:cs="Times New Roman"/>
          <w:sz w:val="20"/>
          <w:szCs w:val="20"/>
          <w:lang w:val="en-GB"/>
        </w:rPr>
        <w:t xml:space="preserve"> acid and related chemicals listed under the Stockholm Convention on Persistent Organic Pollutants;</w:t>
      </w:r>
    </w:p>
    <w:p w:rsidR="007F0114" w:rsidRPr="007F0114" w:rsidRDefault="007F0114" w:rsidP="007F0114">
      <w:pPr>
        <w:pStyle w:val="Normalnumber"/>
        <w:numPr>
          <w:ilvl w:val="0"/>
          <w:numId w:val="4"/>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sz w:val="20"/>
          <w:szCs w:val="20"/>
          <w:lang w:val="en-GB"/>
        </w:rPr>
      </w:pPr>
      <w:r w:rsidRPr="007F0114">
        <w:rPr>
          <w:rFonts w:ascii="Times New Roman" w:hAnsi="Times New Roman" w:cs="Times New Roman"/>
          <w:sz w:val="20"/>
          <w:szCs w:val="20"/>
          <w:lang w:val="en-GB"/>
        </w:rPr>
        <w:t xml:space="preserve">Guidance on preparing inventories of </w:t>
      </w:r>
      <w:proofErr w:type="spellStart"/>
      <w:r w:rsidRPr="007F0114">
        <w:rPr>
          <w:rFonts w:ascii="Times New Roman" w:hAnsi="Times New Roman" w:cs="Times New Roman"/>
          <w:sz w:val="20"/>
          <w:szCs w:val="20"/>
          <w:lang w:val="en-GB"/>
        </w:rPr>
        <w:t>polybrominated</w:t>
      </w:r>
      <w:proofErr w:type="spellEnd"/>
      <w:r w:rsidRPr="007F0114">
        <w:rPr>
          <w:rFonts w:ascii="Times New Roman" w:hAnsi="Times New Roman" w:cs="Times New Roman"/>
          <w:sz w:val="20"/>
          <w:szCs w:val="20"/>
          <w:lang w:val="en-GB"/>
        </w:rPr>
        <w:t xml:space="preserve"> </w:t>
      </w:r>
      <w:proofErr w:type="spellStart"/>
      <w:r w:rsidRPr="007F0114">
        <w:rPr>
          <w:rFonts w:ascii="Times New Roman" w:hAnsi="Times New Roman" w:cs="Times New Roman"/>
          <w:sz w:val="20"/>
          <w:szCs w:val="20"/>
          <w:lang w:val="en-GB"/>
        </w:rPr>
        <w:t>diphenyl</w:t>
      </w:r>
      <w:proofErr w:type="spellEnd"/>
      <w:r w:rsidRPr="007F0114">
        <w:rPr>
          <w:rFonts w:ascii="Times New Roman" w:hAnsi="Times New Roman" w:cs="Times New Roman"/>
          <w:sz w:val="20"/>
          <w:szCs w:val="20"/>
          <w:lang w:val="en-GB"/>
        </w:rPr>
        <w:t xml:space="preserve"> ethers listed under the Stockholm Convention on Persistent Organic Pollutants;</w:t>
      </w:r>
    </w:p>
    <w:p w:rsidR="007F0114" w:rsidRPr="007F0114" w:rsidRDefault="007F0114" w:rsidP="007F0114">
      <w:pPr>
        <w:pStyle w:val="Normalnumber"/>
        <w:numPr>
          <w:ilvl w:val="0"/>
          <w:numId w:val="4"/>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sz w:val="20"/>
          <w:szCs w:val="20"/>
          <w:lang w:val="en-GB"/>
        </w:rPr>
      </w:pPr>
      <w:r w:rsidRPr="007F0114">
        <w:rPr>
          <w:rFonts w:ascii="Times New Roman" w:hAnsi="Times New Roman" w:cs="Times New Roman"/>
          <w:sz w:val="20"/>
          <w:szCs w:val="20"/>
          <w:lang w:val="en-GB"/>
        </w:rPr>
        <w:t>Guidance on socioeconomic assessment for national implementation plan development and implementation under the Stockholm Convention;</w:t>
      </w:r>
    </w:p>
    <w:p w:rsidR="007F0114" w:rsidRPr="007F0114" w:rsidRDefault="007F0114" w:rsidP="007F0114">
      <w:pPr>
        <w:pStyle w:val="Normalnumber"/>
        <w:numPr>
          <w:ilvl w:val="0"/>
          <w:numId w:val="4"/>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sz w:val="20"/>
          <w:szCs w:val="20"/>
          <w:lang w:val="en-GB"/>
        </w:rPr>
      </w:pPr>
      <w:r w:rsidRPr="007F0114">
        <w:rPr>
          <w:rFonts w:ascii="Times New Roman" w:hAnsi="Times New Roman" w:cs="Times New Roman"/>
          <w:sz w:val="20"/>
          <w:szCs w:val="20"/>
          <w:lang w:val="en-GB"/>
        </w:rPr>
        <w:t xml:space="preserve">Guidance on the calculation of action plan costs for specific persistent organic pollutants under the Stockholm Convention; </w:t>
      </w:r>
    </w:p>
    <w:p w:rsidR="007F0114" w:rsidRPr="007F0114" w:rsidRDefault="007F0114" w:rsidP="007F0114">
      <w:pPr>
        <w:pStyle w:val="Normalnumber"/>
        <w:numPr>
          <w:ilvl w:val="0"/>
          <w:numId w:val="4"/>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sz w:val="20"/>
          <w:szCs w:val="20"/>
          <w:lang w:val="en-GB"/>
        </w:rPr>
      </w:pPr>
      <w:r w:rsidRPr="007F0114">
        <w:rPr>
          <w:rFonts w:ascii="Times New Roman" w:hAnsi="Times New Roman" w:cs="Times New Roman"/>
          <w:sz w:val="20"/>
          <w:szCs w:val="20"/>
          <w:lang w:val="en-GB"/>
        </w:rPr>
        <w:t>Guidance on the control of the import and export of persistent organic pollutants;</w:t>
      </w:r>
    </w:p>
    <w:p w:rsidR="007F0114" w:rsidRPr="007F0114" w:rsidRDefault="007F0114" w:rsidP="007F0114">
      <w:pPr>
        <w:pStyle w:val="Normalnumber"/>
        <w:numPr>
          <w:ilvl w:val="0"/>
          <w:numId w:val="4"/>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sz w:val="20"/>
          <w:szCs w:val="20"/>
          <w:lang w:val="en-GB"/>
        </w:rPr>
      </w:pPr>
      <w:r w:rsidRPr="007F0114">
        <w:rPr>
          <w:rFonts w:ascii="Times New Roman" w:hAnsi="Times New Roman" w:cs="Times New Roman"/>
          <w:sz w:val="20"/>
          <w:szCs w:val="20"/>
          <w:lang w:val="en-GB"/>
        </w:rPr>
        <w:t>Guidance on the labelling of products or articles that contain persistent organic pollutants – initial considerations;</w:t>
      </w:r>
    </w:p>
    <w:p w:rsidR="007F0114" w:rsidRPr="007F0114" w:rsidRDefault="007F0114" w:rsidP="007F0114">
      <w:pPr>
        <w:pStyle w:val="Normalnumber"/>
        <w:numPr>
          <w:ilvl w:val="0"/>
          <w:numId w:val="4"/>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sz w:val="20"/>
          <w:szCs w:val="20"/>
          <w:lang w:val="en-GB"/>
        </w:rPr>
      </w:pPr>
      <w:r w:rsidRPr="007F0114">
        <w:rPr>
          <w:rFonts w:ascii="Times New Roman" w:hAnsi="Times New Roman" w:cs="Times New Roman"/>
          <w:sz w:val="20"/>
          <w:szCs w:val="20"/>
          <w:lang w:val="en-GB"/>
        </w:rPr>
        <w:t>Guidance on the sampling, screening and analysis of persistent organic pollutants in products and articles;</w:t>
      </w:r>
    </w:p>
    <w:p w:rsidR="007F0114" w:rsidRPr="007F0114" w:rsidRDefault="007F0114" w:rsidP="007F0114">
      <w:pPr>
        <w:pStyle w:val="Normalnumber"/>
        <w:numPr>
          <w:ilvl w:val="0"/>
          <w:numId w:val="4"/>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sz w:val="20"/>
          <w:szCs w:val="20"/>
          <w:lang w:val="en-GB"/>
        </w:rPr>
      </w:pPr>
      <w:r w:rsidRPr="007F0114">
        <w:rPr>
          <w:rFonts w:ascii="Times New Roman" w:hAnsi="Times New Roman" w:cs="Times New Roman"/>
          <w:sz w:val="20"/>
          <w:szCs w:val="20"/>
          <w:lang w:val="en-GB"/>
        </w:rPr>
        <w:t xml:space="preserve">Guidance on preparing inventories of </w:t>
      </w:r>
      <w:proofErr w:type="spellStart"/>
      <w:r w:rsidRPr="007F0114">
        <w:rPr>
          <w:rFonts w:ascii="Times New Roman" w:hAnsi="Times New Roman" w:cs="Times New Roman"/>
          <w:sz w:val="20"/>
          <w:szCs w:val="20"/>
          <w:lang w:val="en-GB"/>
        </w:rPr>
        <w:t>hexabromocyclododecane</w:t>
      </w:r>
      <w:proofErr w:type="spellEnd"/>
      <w:r w:rsidRPr="007F0114">
        <w:rPr>
          <w:rFonts w:ascii="Times New Roman" w:hAnsi="Times New Roman" w:cs="Times New Roman"/>
          <w:sz w:val="20"/>
          <w:szCs w:val="20"/>
          <w:lang w:val="en-GB"/>
        </w:rPr>
        <w:t>;</w:t>
      </w:r>
    </w:p>
    <w:p w:rsidR="007F0114" w:rsidRPr="007F0114" w:rsidRDefault="007F0114" w:rsidP="007F0114">
      <w:pPr>
        <w:pStyle w:val="Normalnumber"/>
        <w:numPr>
          <w:ilvl w:val="0"/>
          <w:numId w:val="4"/>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sz w:val="20"/>
          <w:szCs w:val="20"/>
          <w:lang w:val="en-GB"/>
        </w:rPr>
      </w:pPr>
      <w:r w:rsidRPr="007F0114">
        <w:rPr>
          <w:rFonts w:ascii="Times New Roman" w:hAnsi="Times New Roman" w:cs="Times New Roman"/>
          <w:sz w:val="20"/>
          <w:szCs w:val="20"/>
          <w:lang w:val="en-GB"/>
        </w:rPr>
        <w:t xml:space="preserve">Draft guidance on preparing inventories of </w:t>
      </w:r>
      <w:proofErr w:type="spellStart"/>
      <w:r w:rsidRPr="007F0114">
        <w:rPr>
          <w:rFonts w:ascii="Times New Roman" w:hAnsi="Times New Roman" w:cs="Times New Roman"/>
          <w:sz w:val="20"/>
          <w:szCs w:val="20"/>
          <w:lang w:val="en-GB"/>
        </w:rPr>
        <w:t>hexachlorobutadiene</w:t>
      </w:r>
      <w:proofErr w:type="spellEnd"/>
      <w:r w:rsidRPr="007F0114">
        <w:rPr>
          <w:rFonts w:ascii="Times New Roman" w:hAnsi="Times New Roman" w:cs="Times New Roman"/>
          <w:sz w:val="20"/>
          <w:szCs w:val="20"/>
          <w:lang w:val="en-GB"/>
        </w:rPr>
        <w:t>;</w:t>
      </w:r>
      <w:r w:rsidRPr="007F0114">
        <w:rPr>
          <w:rStyle w:val="FootnoteReference"/>
          <w:sz w:val="20"/>
          <w:szCs w:val="20"/>
          <w:lang w:val="en-GB"/>
        </w:rPr>
        <w:footnoteReference w:id="4"/>
      </w:r>
    </w:p>
    <w:p w:rsidR="007F0114" w:rsidRPr="007F0114" w:rsidRDefault="007F0114" w:rsidP="007F0114">
      <w:pPr>
        <w:pStyle w:val="Normalnumber"/>
        <w:numPr>
          <w:ilvl w:val="0"/>
          <w:numId w:val="4"/>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sz w:val="20"/>
          <w:szCs w:val="20"/>
          <w:lang w:val="en-GB"/>
        </w:rPr>
      </w:pPr>
      <w:r w:rsidRPr="007F0114">
        <w:rPr>
          <w:rFonts w:ascii="Times New Roman" w:hAnsi="Times New Roman" w:cs="Times New Roman"/>
          <w:sz w:val="20"/>
          <w:szCs w:val="20"/>
          <w:lang w:val="en-GB"/>
        </w:rPr>
        <w:t xml:space="preserve">Draft guidance on preparing inventories of polychlorinated </w:t>
      </w:r>
      <w:proofErr w:type="spellStart"/>
      <w:r w:rsidRPr="007F0114">
        <w:rPr>
          <w:rFonts w:ascii="Times New Roman" w:hAnsi="Times New Roman" w:cs="Times New Roman"/>
          <w:sz w:val="20"/>
          <w:szCs w:val="20"/>
          <w:lang w:val="en-GB"/>
        </w:rPr>
        <w:t>naphthalenes</w:t>
      </w:r>
      <w:proofErr w:type="spellEnd"/>
      <w:r w:rsidRPr="007F0114">
        <w:rPr>
          <w:rFonts w:ascii="Times New Roman" w:hAnsi="Times New Roman" w:cs="Times New Roman"/>
          <w:sz w:val="20"/>
          <w:szCs w:val="20"/>
          <w:lang w:val="en-GB"/>
        </w:rPr>
        <w:t>;</w:t>
      </w:r>
      <w:r w:rsidRPr="007F0114">
        <w:rPr>
          <w:rStyle w:val="FootnoteReference"/>
          <w:sz w:val="20"/>
          <w:szCs w:val="20"/>
          <w:lang w:val="en-GB"/>
        </w:rPr>
        <w:footnoteReference w:id="5"/>
      </w:r>
    </w:p>
    <w:p w:rsidR="007F0114" w:rsidRPr="007F0114" w:rsidRDefault="007F0114" w:rsidP="007F0114">
      <w:pPr>
        <w:pStyle w:val="Normalnumber"/>
        <w:numPr>
          <w:ilvl w:val="0"/>
          <w:numId w:val="4"/>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sz w:val="20"/>
          <w:szCs w:val="20"/>
          <w:lang w:val="en-GB"/>
        </w:rPr>
      </w:pPr>
      <w:r w:rsidRPr="007F0114">
        <w:rPr>
          <w:rFonts w:ascii="Times New Roman" w:hAnsi="Times New Roman" w:cs="Times New Roman"/>
          <w:sz w:val="20"/>
          <w:szCs w:val="20"/>
          <w:lang w:val="en-GB"/>
        </w:rPr>
        <w:t>Draft guidance on preparing inventories of pentachlorophenol and its salts and esters and on identifying alternatives for the phase-out of those chemicals;</w:t>
      </w:r>
      <w:r w:rsidRPr="007F0114">
        <w:rPr>
          <w:rStyle w:val="FootnoteReference"/>
          <w:sz w:val="20"/>
          <w:szCs w:val="20"/>
          <w:lang w:val="en-GB"/>
        </w:rPr>
        <w:footnoteReference w:id="6"/>
      </w:r>
    </w:p>
    <w:p w:rsidR="007F0114" w:rsidRPr="007F0114" w:rsidRDefault="007F0114" w:rsidP="007F0114">
      <w:pPr>
        <w:pStyle w:val="Normalnumber"/>
        <w:numPr>
          <w:ilvl w:val="0"/>
          <w:numId w:val="3"/>
        </w:numPr>
        <w:tabs>
          <w:tab w:val="clear" w:pos="1247"/>
          <w:tab w:val="clear" w:pos="1814"/>
          <w:tab w:val="clear" w:pos="2381"/>
          <w:tab w:val="clear" w:pos="2948"/>
          <w:tab w:val="clear" w:pos="3515"/>
          <w:tab w:val="clear" w:pos="4082"/>
          <w:tab w:val="left" w:pos="2410"/>
        </w:tabs>
        <w:ind w:firstLine="624"/>
        <w:rPr>
          <w:rFonts w:ascii="Times New Roman" w:hAnsi="Times New Roman" w:cs="Times New Roman"/>
          <w:sz w:val="20"/>
          <w:szCs w:val="20"/>
          <w:lang w:val="en-GB"/>
        </w:rPr>
      </w:pPr>
      <w:r w:rsidRPr="007F0114">
        <w:rPr>
          <w:rFonts w:ascii="Times New Roman" w:hAnsi="Times New Roman" w:cs="Times New Roman"/>
          <w:i/>
          <w:sz w:val="20"/>
          <w:szCs w:val="20"/>
          <w:lang w:val="en-GB"/>
        </w:rPr>
        <w:t>E</w:t>
      </w:r>
      <w:r w:rsidRPr="007F0114">
        <w:rPr>
          <w:rFonts w:ascii="Times New Roman" w:hAnsi="Times New Roman" w:cs="Times New Roman"/>
          <w:i/>
          <w:iCs/>
          <w:sz w:val="20"/>
          <w:szCs w:val="20"/>
          <w:lang w:val="en-GB"/>
        </w:rPr>
        <w:t>ncourages</w:t>
      </w:r>
      <w:r w:rsidRPr="007F0114">
        <w:rPr>
          <w:rFonts w:ascii="Times New Roman" w:hAnsi="Times New Roman" w:cs="Times New Roman"/>
          <w:i/>
          <w:sz w:val="20"/>
          <w:szCs w:val="20"/>
          <w:lang w:val="en-GB"/>
        </w:rPr>
        <w:t xml:space="preserve"> </w:t>
      </w:r>
      <w:r w:rsidRPr="007F0114">
        <w:rPr>
          <w:rFonts w:ascii="Times New Roman" w:hAnsi="Times New Roman" w:cs="Times New Roman"/>
          <w:sz w:val="20"/>
          <w:szCs w:val="20"/>
          <w:lang w:val="en-GB"/>
        </w:rPr>
        <w:t>Parties</w:t>
      </w:r>
      <w:r w:rsidRPr="007F0114">
        <w:rPr>
          <w:rFonts w:ascii="Times New Roman" w:hAnsi="Times New Roman" w:cs="Times New Roman"/>
          <w:color w:val="000000"/>
          <w:sz w:val="20"/>
          <w:szCs w:val="20"/>
          <w:lang w:val="en-GB"/>
        </w:rPr>
        <w:t xml:space="preserve"> to </w:t>
      </w:r>
      <w:r w:rsidRPr="007F0114">
        <w:rPr>
          <w:rFonts w:ascii="Times New Roman" w:hAnsi="Times New Roman" w:cs="Times New Roman"/>
          <w:sz w:val="20"/>
          <w:szCs w:val="20"/>
          <w:lang w:val="en-GB"/>
        </w:rPr>
        <w:t xml:space="preserve">use the guidance </w:t>
      </w:r>
      <w:r w:rsidRPr="007F0114">
        <w:rPr>
          <w:rFonts w:ascii="Times New Roman" w:hAnsi="Times New Roman" w:cs="Times New Roman"/>
          <w:iCs/>
          <w:sz w:val="20"/>
          <w:szCs w:val="20"/>
          <w:lang w:val="en-GB"/>
        </w:rPr>
        <w:t>referred to in paragraphs</w:t>
      </w:r>
      <w:r w:rsidRPr="007F0114">
        <w:rPr>
          <w:rFonts w:ascii="Times New Roman" w:hAnsi="Times New Roman" w:cs="Times New Roman"/>
          <w:sz w:val="20"/>
          <w:szCs w:val="20"/>
          <w:lang w:val="en-GB"/>
        </w:rPr>
        <w:t xml:space="preserve"> 4 (a)–(c) above, as appropriate, when developing, reviewing and updating their national implementation plans;</w:t>
      </w:r>
    </w:p>
    <w:p w:rsidR="007F0114" w:rsidRPr="007F0114" w:rsidRDefault="007F0114" w:rsidP="007F0114">
      <w:pPr>
        <w:pStyle w:val="Normalnumber"/>
        <w:numPr>
          <w:ilvl w:val="0"/>
          <w:numId w:val="3"/>
        </w:numPr>
        <w:tabs>
          <w:tab w:val="clear" w:pos="1247"/>
          <w:tab w:val="clear" w:pos="1814"/>
          <w:tab w:val="clear" w:pos="2381"/>
          <w:tab w:val="clear" w:pos="2948"/>
          <w:tab w:val="clear" w:pos="3515"/>
          <w:tab w:val="clear" w:pos="4082"/>
          <w:tab w:val="left" w:pos="2410"/>
        </w:tabs>
        <w:ind w:firstLine="624"/>
        <w:rPr>
          <w:rFonts w:ascii="Times New Roman" w:hAnsi="Times New Roman" w:cs="Times New Roman"/>
          <w:sz w:val="20"/>
          <w:szCs w:val="20"/>
          <w:lang w:val="en-GB"/>
        </w:rPr>
      </w:pPr>
      <w:r w:rsidRPr="007F0114">
        <w:rPr>
          <w:rFonts w:ascii="Times New Roman" w:hAnsi="Times New Roman" w:cs="Times New Roman"/>
          <w:i/>
          <w:iCs/>
          <w:sz w:val="20"/>
          <w:szCs w:val="20"/>
          <w:lang w:val="en-GB"/>
        </w:rPr>
        <w:lastRenderedPageBreak/>
        <w:t xml:space="preserve">Invites </w:t>
      </w:r>
      <w:r w:rsidRPr="007F0114">
        <w:rPr>
          <w:rFonts w:ascii="Times New Roman" w:hAnsi="Times New Roman" w:cs="Times New Roman"/>
          <w:iCs/>
          <w:sz w:val="20"/>
          <w:szCs w:val="20"/>
          <w:lang w:val="en-GB"/>
        </w:rPr>
        <w:t xml:space="preserve">Parties and others to </w:t>
      </w:r>
      <w:r w:rsidRPr="007F0114">
        <w:rPr>
          <w:rFonts w:ascii="Times New Roman" w:hAnsi="Times New Roman" w:cs="Times New Roman"/>
          <w:sz w:val="20"/>
          <w:szCs w:val="20"/>
          <w:lang w:val="en-GB"/>
        </w:rPr>
        <w:t xml:space="preserve">provide comments to the Secretariat on the guidance documents listed in paragraph 4 above by </w:t>
      </w:r>
      <w:r w:rsidRPr="007F0114">
        <w:rPr>
          <w:rFonts w:ascii="Times New Roman" w:hAnsi="Times New Roman" w:cs="Times New Roman"/>
          <w:iCs/>
          <w:sz w:val="20"/>
          <w:szCs w:val="20"/>
          <w:lang w:val="en-GB"/>
        </w:rPr>
        <w:t xml:space="preserve">30 June 2018, including </w:t>
      </w:r>
      <w:r w:rsidRPr="007F0114">
        <w:rPr>
          <w:rFonts w:ascii="Times New Roman" w:hAnsi="Times New Roman" w:cs="Times New Roman"/>
          <w:sz w:val="20"/>
          <w:szCs w:val="20"/>
          <w:lang w:val="en-GB"/>
        </w:rPr>
        <w:t>based on their experience in using the guidance documents and on how to improve their usefulness;</w:t>
      </w:r>
      <w:r w:rsidRPr="007F0114">
        <w:rPr>
          <w:rStyle w:val="FootnoteReference"/>
          <w:sz w:val="20"/>
          <w:szCs w:val="20"/>
          <w:lang w:val="en-GB"/>
        </w:rPr>
        <w:t xml:space="preserve"> </w:t>
      </w:r>
    </w:p>
    <w:p w:rsidR="007F0114" w:rsidRPr="007F0114" w:rsidRDefault="007F0114" w:rsidP="007F0114">
      <w:pPr>
        <w:pStyle w:val="Normalnumber"/>
        <w:numPr>
          <w:ilvl w:val="0"/>
          <w:numId w:val="3"/>
        </w:numPr>
        <w:tabs>
          <w:tab w:val="clear" w:pos="1247"/>
          <w:tab w:val="clear" w:pos="1814"/>
          <w:tab w:val="clear" w:pos="2381"/>
          <w:tab w:val="clear" w:pos="2948"/>
          <w:tab w:val="clear" w:pos="3515"/>
          <w:tab w:val="clear" w:pos="4082"/>
          <w:tab w:val="left" w:pos="2410"/>
        </w:tabs>
        <w:ind w:firstLine="624"/>
        <w:rPr>
          <w:rFonts w:ascii="Times New Roman" w:hAnsi="Times New Roman" w:cs="Times New Roman"/>
          <w:sz w:val="20"/>
          <w:szCs w:val="20"/>
          <w:lang w:val="en-GB"/>
        </w:rPr>
      </w:pPr>
      <w:r w:rsidRPr="007F0114">
        <w:rPr>
          <w:rFonts w:ascii="Times New Roman" w:hAnsi="Times New Roman" w:cs="Times New Roman"/>
          <w:i/>
          <w:sz w:val="20"/>
          <w:szCs w:val="20"/>
          <w:lang w:val="en-GB"/>
        </w:rPr>
        <w:t>Invites</w:t>
      </w:r>
      <w:r w:rsidRPr="007F0114">
        <w:rPr>
          <w:rFonts w:ascii="Times New Roman" w:hAnsi="Times New Roman" w:cs="Times New Roman"/>
          <w:sz w:val="20"/>
          <w:szCs w:val="20"/>
          <w:lang w:val="en-GB"/>
        </w:rPr>
        <w:t xml:space="preserve"> the appropriate bodies of the Basel Convention on the Control of </w:t>
      </w:r>
      <w:proofErr w:type="spellStart"/>
      <w:r w:rsidRPr="007F0114">
        <w:rPr>
          <w:rFonts w:ascii="Times New Roman" w:hAnsi="Times New Roman" w:cs="Times New Roman"/>
          <w:sz w:val="20"/>
          <w:szCs w:val="20"/>
          <w:lang w:val="en-GB"/>
        </w:rPr>
        <w:t>Transboundary</w:t>
      </w:r>
      <w:proofErr w:type="spellEnd"/>
      <w:r w:rsidRPr="007F0114">
        <w:rPr>
          <w:rFonts w:ascii="Times New Roman" w:hAnsi="Times New Roman" w:cs="Times New Roman"/>
          <w:sz w:val="20"/>
          <w:szCs w:val="20"/>
          <w:lang w:val="en-GB"/>
        </w:rPr>
        <w:t xml:space="preserve"> Movements of Hazardous Wastes and Their Disposal to review the waste-related aspects of the guidance documents listed in </w:t>
      </w:r>
      <w:r w:rsidRPr="007F0114">
        <w:rPr>
          <w:rFonts w:ascii="Times New Roman" w:hAnsi="Times New Roman" w:cs="Times New Roman"/>
          <w:iCs/>
          <w:sz w:val="20"/>
          <w:szCs w:val="20"/>
          <w:lang w:val="en-GB"/>
        </w:rPr>
        <w:t>paragraphs</w:t>
      </w:r>
      <w:r w:rsidRPr="007F0114">
        <w:rPr>
          <w:rFonts w:ascii="Times New Roman" w:hAnsi="Times New Roman" w:cs="Times New Roman"/>
          <w:sz w:val="20"/>
          <w:szCs w:val="20"/>
          <w:lang w:val="en-GB"/>
        </w:rPr>
        <w:t xml:space="preserve"> 4 (j)</w:t>
      </w:r>
      <w:r w:rsidRPr="007F0114">
        <w:rPr>
          <w:rFonts w:ascii="Times New Roman" w:hAnsi="Times New Roman" w:cs="Times New Roman"/>
          <w:iCs/>
          <w:sz w:val="20"/>
          <w:szCs w:val="20"/>
          <w:lang w:val="en-GB"/>
        </w:rPr>
        <w:t>–</w:t>
      </w:r>
      <w:r w:rsidRPr="007F0114">
        <w:rPr>
          <w:rFonts w:ascii="Times New Roman" w:hAnsi="Times New Roman" w:cs="Times New Roman"/>
          <w:sz w:val="20"/>
          <w:szCs w:val="20"/>
          <w:lang w:val="en-GB"/>
        </w:rPr>
        <w:t>(l) above and to forward the outcome of their review to the Secretariat no later than one week after the eleventh meeting of the Open-ended Working Group for its consideration in the updating of the guidance in line with the request set out in paragraph 8 (a) below;</w:t>
      </w:r>
    </w:p>
    <w:p w:rsidR="007F0114" w:rsidRPr="007F0114" w:rsidRDefault="007F0114" w:rsidP="007F0114">
      <w:pPr>
        <w:pStyle w:val="Normalnumber"/>
        <w:numPr>
          <w:ilvl w:val="0"/>
          <w:numId w:val="3"/>
        </w:numPr>
        <w:tabs>
          <w:tab w:val="clear" w:pos="1247"/>
          <w:tab w:val="clear" w:pos="1814"/>
          <w:tab w:val="clear" w:pos="2381"/>
          <w:tab w:val="clear" w:pos="2948"/>
          <w:tab w:val="clear" w:pos="3515"/>
          <w:tab w:val="clear" w:pos="4082"/>
          <w:tab w:val="left" w:pos="2410"/>
        </w:tabs>
        <w:ind w:firstLine="624"/>
        <w:rPr>
          <w:rFonts w:ascii="Times New Roman" w:hAnsi="Times New Roman" w:cs="Times New Roman"/>
          <w:sz w:val="20"/>
          <w:szCs w:val="20"/>
          <w:lang w:val="en-GB"/>
        </w:rPr>
      </w:pPr>
      <w:r w:rsidRPr="007F0114">
        <w:rPr>
          <w:rFonts w:ascii="Times New Roman" w:hAnsi="Times New Roman" w:cs="Times New Roman"/>
          <w:i/>
          <w:iCs/>
          <w:sz w:val="20"/>
          <w:szCs w:val="20"/>
          <w:lang w:val="en-GB"/>
        </w:rPr>
        <w:t>Request</w:t>
      </w:r>
      <w:r w:rsidRPr="007F0114">
        <w:rPr>
          <w:rFonts w:ascii="Times New Roman" w:hAnsi="Times New Roman" w:cs="Times New Roman"/>
          <w:sz w:val="20"/>
          <w:szCs w:val="20"/>
          <w:lang w:val="en-GB"/>
        </w:rPr>
        <w:t>s the Secretariat:</w:t>
      </w:r>
    </w:p>
    <w:p w:rsidR="007F0114" w:rsidRPr="007F0114" w:rsidRDefault="007F0114" w:rsidP="007F0114">
      <w:pPr>
        <w:pStyle w:val="Normal-pool"/>
        <w:numPr>
          <w:ilvl w:val="1"/>
          <w:numId w:val="2"/>
        </w:numPr>
        <w:tabs>
          <w:tab w:val="clear" w:pos="1247"/>
          <w:tab w:val="clear" w:pos="1814"/>
          <w:tab w:val="clear" w:pos="2381"/>
          <w:tab w:val="clear" w:pos="2948"/>
          <w:tab w:val="clear" w:pos="3515"/>
          <w:tab w:val="clear" w:pos="4082"/>
          <w:tab w:val="left" w:pos="624"/>
        </w:tabs>
        <w:spacing w:after="120"/>
        <w:ind w:left="1247" w:firstLine="624"/>
      </w:pPr>
      <w:r w:rsidRPr="007F0114">
        <w:t>To continue, subject to the availability of resources, to update the guidance documents listed in paragraph 4 above, as appropriate, on the basis of the comments received from Parties and others, including from Basel Convention bodies, as referred to in paragraphs 6 and 7 above;</w:t>
      </w:r>
    </w:p>
    <w:p w:rsidR="007F0114" w:rsidRPr="007F0114" w:rsidRDefault="007F0114" w:rsidP="007F0114">
      <w:pPr>
        <w:pStyle w:val="Normal-pool"/>
        <w:numPr>
          <w:ilvl w:val="1"/>
          <w:numId w:val="2"/>
        </w:numPr>
        <w:tabs>
          <w:tab w:val="clear" w:pos="1247"/>
          <w:tab w:val="clear" w:pos="1814"/>
          <w:tab w:val="clear" w:pos="2381"/>
          <w:tab w:val="clear" w:pos="2948"/>
          <w:tab w:val="clear" w:pos="3515"/>
          <w:tab w:val="clear" w:pos="4082"/>
          <w:tab w:val="left" w:pos="624"/>
        </w:tabs>
        <w:spacing w:after="120"/>
        <w:ind w:left="1247" w:firstLine="624"/>
      </w:pPr>
      <w:r w:rsidRPr="007F0114">
        <w:t>To undertake, subject to the availability of resources, capacity-building and training activities to support Parties in order to facilitate the development, review and updating of national implementation plans, taking into account the guidance documents listed in paragraphs 4 (a)–(c) above;</w:t>
      </w:r>
    </w:p>
    <w:p w:rsidR="007F0114" w:rsidRPr="007F0114" w:rsidRDefault="007F0114" w:rsidP="007F0114">
      <w:pPr>
        <w:pStyle w:val="Normal-pool"/>
        <w:numPr>
          <w:ilvl w:val="1"/>
          <w:numId w:val="2"/>
        </w:numPr>
        <w:tabs>
          <w:tab w:val="clear" w:pos="1247"/>
          <w:tab w:val="clear" w:pos="1814"/>
          <w:tab w:val="clear" w:pos="2381"/>
          <w:tab w:val="clear" w:pos="2948"/>
          <w:tab w:val="clear" w:pos="3515"/>
          <w:tab w:val="clear" w:pos="4082"/>
          <w:tab w:val="left" w:pos="624"/>
        </w:tabs>
        <w:spacing w:after="120"/>
        <w:ind w:left="1247" w:firstLine="624"/>
      </w:pPr>
      <w:r w:rsidRPr="007F0114">
        <w:t xml:space="preserve">To develop, as necessary and subject to the availability of resources, new guidance on preparing inventories of the persistent organic pollutants listed by the Conference of the Parties at its eighth meeting in decisions SC-8/10 and SC-8/11; </w:t>
      </w:r>
    </w:p>
    <w:p w:rsidR="007F0114" w:rsidRPr="007F0114" w:rsidRDefault="007F0114" w:rsidP="007F0114">
      <w:pPr>
        <w:pStyle w:val="Normal-pool"/>
        <w:numPr>
          <w:ilvl w:val="1"/>
          <w:numId w:val="2"/>
        </w:numPr>
        <w:tabs>
          <w:tab w:val="clear" w:pos="1247"/>
          <w:tab w:val="clear" w:pos="1814"/>
          <w:tab w:val="clear" w:pos="2381"/>
          <w:tab w:val="clear" w:pos="2948"/>
          <w:tab w:val="clear" w:pos="3515"/>
          <w:tab w:val="clear" w:pos="4082"/>
          <w:tab w:val="left" w:pos="624"/>
        </w:tabs>
        <w:spacing w:after="120"/>
        <w:ind w:left="1247" w:firstLine="624"/>
      </w:pPr>
      <w:r w:rsidRPr="007F0114">
        <w:t>To continue to identify any additional guidance that might be required to assist Parties in the development, review and updating of national implementation plans;</w:t>
      </w:r>
    </w:p>
    <w:p w:rsidR="007F0114" w:rsidRPr="007F0114" w:rsidRDefault="007F0114" w:rsidP="007F0114">
      <w:pPr>
        <w:pStyle w:val="Normal-pool"/>
        <w:numPr>
          <w:ilvl w:val="1"/>
          <w:numId w:val="2"/>
        </w:numPr>
        <w:tabs>
          <w:tab w:val="clear" w:pos="1247"/>
          <w:tab w:val="clear" w:pos="1814"/>
          <w:tab w:val="clear" w:pos="2381"/>
          <w:tab w:val="clear" w:pos="2948"/>
          <w:tab w:val="clear" w:pos="3515"/>
          <w:tab w:val="clear" w:pos="4082"/>
          <w:tab w:val="left" w:pos="624"/>
        </w:tabs>
        <w:spacing w:after="120"/>
        <w:ind w:left="1247" w:firstLine="624"/>
      </w:pPr>
      <w:r w:rsidRPr="007F0114">
        <w:t xml:space="preserve">To develop, subject to the availability of resources, an electronic template for the quantitative information included in national implementation plans in a harmonized manner with the reporting under Article 15 of the Convention; </w:t>
      </w:r>
    </w:p>
    <w:p w:rsidR="007F0114" w:rsidRPr="007F0114" w:rsidRDefault="007F0114" w:rsidP="007F0114">
      <w:pPr>
        <w:pStyle w:val="Normalnumber"/>
        <w:numPr>
          <w:ilvl w:val="0"/>
          <w:numId w:val="3"/>
        </w:numPr>
        <w:tabs>
          <w:tab w:val="clear" w:pos="1247"/>
          <w:tab w:val="clear" w:pos="1814"/>
          <w:tab w:val="clear" w:pos="2381"/>
          <w:tab w:val="clear" w:pos="2948"/>
          <w:tab w:val="clear" w:pos="3515"/>
          <w:tab w:val="clear" w:pos="4082"/>
          <w:tab w:val="left" w:pos="2410"/>
        </w:tabs>
        <w:ind w:firstLine="624"/>
        <w:rPr>
          <w:rFonts w:ascii="Times New Roman" w:hAnsi="Times New Roman" w:cs="Times New Roman"/>
          <w:sz w:val="20"/>
          <w:szCs w:val="20"/>
          <w:lang w:val="en-GB"/>
        </w:rPr>
      </w:pPr>
      <w:r w:rsidRPr="007F0114">
        <w:rPr>
          <w:rFonts w:ascii="Times New Roman" w:hAnsi="Times New Roman" w:cs="Times New Roman"/>
          <w:i/>
          <w:sz w:val="20"/>
          <w:szCs w:val="20"/>
          <w:lang w:val="en-GB"/>
        </w:rPr>
        <w:t>Also requests</w:t>
      </w:r>
      <w:r w:rsidRPr="007F0114">
        <w:rPr>
          <w:rFonts w:ascii="Times New Roman" w:hAnsi="Times New Roman" w:cs="Times New Roman"/>
          <w:sz w:val="20"/>
          <w:szCs w:val="20"/>
          <w:lang w:val="en-GB"/>
        </w:rPr>
        <w:t xml:space="preserve"> the Secretariat, in consultation with the Persistent Organic Pollutants Review Committee and the experts on best available techniques and best environmental practices, taking into account comments from Parties and others, and subject to the availability of resources, to develop draft guidance documents on alternatives for the phase-out of the chemicals listed by the Conference of the Parties at its eighth meeting in decisions SC-8/10 and SC-8/11 for consideration by the Conference of the Parties at its ninth meeting; </w:t>
      </w:r>
    </w:p>
    <w:p w:rsidR="007F0114" w:rsidRPr="007F0114" w:rsidRDefault="007F0114" w:rsidP="007F0114">
      <w:pPr>
        <w:pStyle w:val="Normalnumber"/>
        <w:numPr>
          <w:ilvl w:val="0"/>
          <w:numId w:val="3"/>
        </w:numPr>
        <w:tabs>
          <w:tab w:val="clear" w:pos="1247"/>
          <w:tab w:val="clear" w:pos="1814"/>
          <w:tab w:val="clear" w:pos="2381"/>
          <w:tab w:val="clear" w:pos="2948"/>
          <w:tab w:val="clear" w:pos="3515"/>
          <w:tab w:val="clear" w:pos="4082"/>
          <w:tab w:val="left" w:pos="624"/>
        </w:tabs>
        <w:ind w:firstLine="624"/>
        <w:rPr>
          <w:rFonts w:ascii="Times New Roman" w:hAnsi="Times New Roman" w:cs="Times New Roman"/>
          <w:sz w:val="20"/>
          <w:szCs w:val="20"/>
          <w:lang w:val="en-GB"/>
        </w:rPr>
      </w:pPr>
      <w:r w:rsidRPr="007F0114">
        <w:rPr>
          <w:rFonts w:ascii="Times New Roman" w:hAnsi="Times New Roman" w:cs="Times New Roman"/>
          <w:i/>
          <w:iCs/>
          <w:sz w:val="20"/>
          <w:szCs w:val="20"/>
          <w:lang w:val="en-GB"/>
        </w:rPr>
        <w:t>Requests</w:t>
      </w:r>
      <w:r w:rsidRPr="007F0114">
        <w:rPr>
          <w:rFonts w:ascii="Times New Roman" w:hAnsi="Times New Roman" w:cs="Times New Roman"/>
          <w:sz w:val="20"/>
          <w:szCs w:val="20"/>
          <w:lang w:val="en-GB"/>
        </w:rPr>
        <w:t xml:space="preserve"> Parties to identify diversified, accessible, predictable and sustainable financial resources as required by the Convention to assist developing countries and countries with economies in transition in updating their national implementation plans under Article 7 of the Convention.</w:t>
      </w:r>
    </w:p>
    <w:p w:rsidR="00EE16C0" w:rsidRPr="007F0114" w:rsidRDefault="00EE16C0">
      <w:pPr>
        <w:rPr>
          <w:sz w:val="20"/>
        </w:rPr>
      </w:pPr>
    </w:p>
    <w:sectPr w:rsidR="00EE16C0" w:rsidRPr="007F0114" w:rsidSect="00EE16C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5AD" w:rsidRDefault="008D35AD" w:rsidP="007F0114">
      <w:r>
        <w:separator/>
      </w:r>
    </w:p>
  </w:endnote>
  <w:endnote w:type="continuationSeparator" w:id="0">
    <w:p w:rsidR="008D35AD" w:rsidRDefault="008D35AD" w:rsidP="007F01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5AD" w:rsidRDefault="008D35AD" w:rsidP="007F0114">
      <w:r>
        <w:separator/>
      </w:r>
    </w:p>
  </w:footnote>
  <w:footnote w:type="continuationSeparator" w:id="0">
    <w:p w:rsidR="008D35AD" w:rsidRDefault="008D35AD" w:rsidP="007F0114">
      <w:r>
        <w:continuationSeparator/>
      </w:r>
    </w:p>
  </w:footnote>
  <w:footnote w:id="1">
    <w:p w:rsidR="007F0114" w:rsidRPr="00092F5F" w:rsidRDefault="007F0114" w:rsidP="007F0114">
      <w:pPr>
        <w:pStyle w:val="Normalpool"/>
        <w:tabs>
          <w:tab w:val="left" w:pos="624"/>
        </w:tabs>
        <w:spacing w:before="20" w:after="20"/>
        <w:ind w:left="1247" w:right="57"/>
        <w:rPr>
          <w:sz w:val="18"/>
          <w:szCs w:val="18"/>
        </w:rPr>
      </w:pPr>
      <w:r w:rsidRPr="00092F5F">
        <w:rPr>
          <w:rStyle w:val="footnote"/>
          <w:szCs w:val="18"/>
        </w:rPr>
        <w:footnoteRef/>
      </w:r>
      <w:r w:rsidRPr="00092F5F">
        <w:rPr>
          <w:sz w:val="18"/>
          <w:szCs w:val="18"/>
        </w:rPr>
        <w:t xml:space="preserve"> </w:t>
      </w:r>
      <w:proofErr w:type="spellStart"/>
      <w:r w:rsidRPr="00092F5F">
        <w:rPr>
          <w:sz w:val="18"/>
          <w:szCs w:val="18"/>
        </w:rPr>
        <w:t>See</w:t>
      </w:r>
      <w:proofErr w:type="spellEnd"/>
      <w:r w:rsidRPr="00092F5F">
        <w:rPr>
          <w:sz w:val="18"/>
          <w:szCs w:val="18"/>
        </w:rPr>
        <w:t xml:space="preserve"> UNEP/POPS/COP.8/INF/17/</w:t>
      </w:r>
      <w:proofErr w:type="spellStart"/>
      <w:r w:rsidRPr="00092F5F">
        <w:rPr>
          <w:sz w:val="18"/>
          <w:szCs w:val="18"/>
        </w:rPr>
        <w:t>Rev</w:t>
      </w:r>
      <w:proofErr w:type="spellEnd"/>
      <w:r w:rsidRPr="00092F5F">
        <w:rPr>
          <w:sz w:val="18"/>
          <w:szCs w:val="18"/>
        </w:rPr>
        <w:t>.1.</w:t>
      </w:r>
    </w:p>
  </w:footnote>
  <w:footnote w:id="2">
    <w:p w:rsidR="007F0114" w:rsidRPr="00092F5F" w:rsidRDefault="007F0114" w:rsidP="007F0114">
      <w:pPr>
        <w:pStyle w:val="Normalpool"/>
        <w:tabs>
          <w:tab w:val="left" w:pos="624"/>
        </w:tabs>
        <w:spacing w:before="20" w:after="20"/>
        <w:ind w:left="1247" w:right="57"/>
        <w:rPr>
          <w:sz w:val="18"/>
          <w:szCs w:val="18"/>
        </w:rPr>
      </w:pPr>
      <w:r w:rsidRPr="00092F5F">
        <w:rPr>
          <w:rStyle w:val="footnote"/>
          <w:szCs w:val="18"/>
        </w:rPr>
        <w:footnoteRef/>
      </w:r>
      <w:r w:rsidRPr="00092F5F">
        <w:rPr>
          <w:sz w:val="18"/>
          <w:szCs w:val="18"/>
        </w:rPr>
        <w:t xml:space="preserve"> Ibid.</w:t>
      </w:r>
    </w:p>
  </w:footnote>
  <w:footnote w:id="3">
    <w:p w:rsidR="007F0114" w:rsidRPr="00092F5F" w:rsidRDefault="007F0114" w:rsidP="007F0114">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The </w:t>
      </w:r>
      <w:proofErr w:type="spellStart"/>
      <w:r w:rsidRPr="00092F5F">
        <w:rPr>
          <w:sz w:val="18"/>
          <w:szCs w:val="18"/>
        </w:rPr>
        <w:t>draft</w:t>
      </w:r>
      <w:proofErr w:type="spellEnd"/>
      <w:r w:rsidRPr="00092F5F">
        <w:rPr>
          <w:sz w:val="18"/>
          <w:szCs w:val="18"/>
        </w:rPr>
        <w:t xml:space="preserve"> guidance documents </w:t>
      </w:r>
      <w:proofErr w:type="spellStart"/>
      <w:r w:rsidRPr="00092F5F">
        <w:rPr>
          <w:sz w:val="18"/>
          <w:szCs w:val="18"/>
        </w:rPr>
        <w:t>listed</w:t>
      </w:r>
      <w:proofErr w:type="spellEnd"/>
      <w:r w:rsidRPr="00092F5F">
        <w:rPr>
          <w:sz w:val="18"/>
          <w:szCs w:val="18"/>
        </w:rPr>
        <w:t xml:space="preserve"> in </w:t>
      </w:r>
      <w:proofErr w:type="spellStart"/>
      <w:r w:rsidRPr="00092F5F">
        <w:rPr>
          <w:sz w:val="18"/>
          <w:szCs w:val="18"/>
        </w:rPr>
        <w:t>paragraphs</w:t>
      </w:r>
      <w:proofErr w:type="spellEnd"/>
      <w:r w:rsidRPr="00092F5F">
        <w:rPr>
          <w:sz w:val="18"/>
          <w:szCs w:val="18"/>
        </w:rPr>
        <w:t xml:space="preserve"> 4 (a)–(i) are </w:t>
      </w:r>
      <w:proofErr w:type="spellStart"/>
      <w:r w:rsidRPr="00092F5F">
        <w:rPr>
          <w:sz w:val="18"/>
          <w:szCs w:val="18"/>
        </w:rPr>
        <w:t>available</w:t>
      </w:r>
      <w:proofErr w:type="spellEnd"/>
      <w:r w:rsidRPr="00092F5F">
        <w:rPr>
          <w:sz w:val="18"/>
          <w:szCs w:val="18"/>
        </w:rPr>
        <w:t xml:space="preserve"> </w:t>
      </w:r>
      <w:proofErr w:type="spellStart"/>
      <w:r w:rsidRPr="00092F5F">
        <w:rPr>
          <w:sz w:val="18"/>
          <w:szCs w:val="18"/>
        </w:rPr>
        <w:t>at</w:t>
      </w:r>
      <w:proofErr w:type="spellEnd"/>
      <w:r w:rsidRPr="00092F5F">
        <w:rPr>
          <w:sz w:val="18"/>
          <w:szCs w:val="18"/>
        </w:rPr>
        <w:t xml:space="preserve"> http://chm.pops.int/Implementation/NIPs/Guidance/tabid/2882/Default.aspx.</w:t>
      </w:r>
    </w:p>
  </w:footnote>
  <w:footnote w:id="4">
    <w:p w:rsidR="007F0114" w:rsidRPr="00092F5F" w:rsidRDefault="007F0114" w:rsidP="007F0114">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UNEP/POPS/COP.8/INF/18.</w:t>
      </w:r>
    </w:p>
  </w:footnote>
  <w:footnote w:id="5">
    <w:p w:rsidR="007F0114" w:rsidRPr="00092F5F" w:rsidRDefault="007F0114" w:rsidP="007F0114">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UNEP/POPS/COP.8/INF/19.</w:t>
      </w:r>
    </w:p>
  </w:footnote>
  <w:footnote w:id="6">
    <w:p w:rsidR="007F0114" w:rsidRPr="00092F5F" w:rsidRDefault="007F0114" w:rsidP="007F0114">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UNEP/POPS/COP.8/INF/20.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63D9C"/>
    <w:multiLevelType w:val="hybridMultilevel"/>
    <w:tmpl w:val="A09609C0"/>
    <w:lvl w:ilvl="0" w:tplc="5F84B852">
      <w:start w:val="1"/>
      <w:numFmt w:val="lowerLetter"/>
      <w:lvlText w:val="(%1)"/>
      <w:lvlJc w:val="left"/>
      <w:pPr>
        <w:ind w:left="2855" w:hanging="360"/>
      </w:pPr>
      <w:rPr>
        <w:rFonts w:hint="default"/>
      </w:rPr>
    </w:lvl>
    <w:lvl w:ilvl="1" w:tplc="04090019" w:tentative="1">
      <w:start w:val="1"/>
      <w:numFmt w:val="lowerLetter"/>
      <w:lvlText w:val="%2."/>
      <w:lvlJc w:val="left"/>
      <w:pPr>
        <w:ind w:left="3575" w:hanging="360"/>
      </w:pPr>
    </w:lvl>
    <w:lvl w:ilvl="2" w:tplc="0409001B" w:tentative="1">
      <w:start w:val="1"/>
      <w:numFmt w:val="lowerRoman"/>
      <w:lvlText w:val="%3."/>
      <w:lvlJc w:val="right"/>
      <w:pPr>
        <w:ind w:left="4295" w:hanging="180"/>
      </w:pPr>
    </w:lvl>
    <w:lvl w:ilvl="3" w:tplc="0409000F" w:tentative="1">
      <w:start w:val="1"/>
      <w:numFmt w:val="decimal"/>
      <w:lvlText w:val="%4."/>
      <w:lvlJc w:val="left"/>
      <w:pPr>
        <w:ind w:left="5015" w:hanging="360"/>
      </w:pPr>
    </w:lvl>
    <w:lvl w:ilvl="4" w:tplc="04090019" w:tentative="1">
      <w:start w:val="1"/>
      <w:numFmt w:val="lowerLetter"/>
      <w:lvlText w:val="%5."/>
      <w:lvlJc w:val="left"/>
      <w:pPr>
        <w:ind w:left="5735" w:hanging="360"/>
      </w:pPr>
    </w:lvl>
    <w:lvl w:ilvl="5" w:tplc="0409001B" w:tentative="1">
      <w:start w:val="1"/>
      <w:numFmt w:val="lowerRoman"/>
      <w:lvlText w:val="%6."/>
      <w:lvlJc w:val="right"/>
      <w:pPr>
        <w:ind w:left="6455" w:hanging="180"/>
      </w:pPr>
    </w:lvl>
    <w:lvl w:ilvl="6" w:tplc="0409000F" w:tentative="1">
      <w:start w:val="1"/>
      <w:numFmt w:val="decimal"/>
      <w:lvlText w:val="%7."/>
      <w:lvlJc w:val="left"/>
      <w:pPr>
        <w:ind w:left="7175" w:hanging="360"/>
      </w:pPr>
    </w:lvl>
    <w:lvl w:ilvl="7" w:tplc="04090019" w:tentative="1">
      <w:start w:val="1"/>
      <w:numFmt w:val="lowerLetter"/>
      <w:lvlText w:val="%8."/>
      <w:lvlJc w:val="left"/>
      <w:pPr>
        <w:ind w:left="7895" w:hanging="360"/>
      </w:pPr>
    </w:lvl>
    <w:lvl w:ilvl="8" w:tplc="0409001B" w:tentative="1">
      <w:start w:val="1"/>
      <w:numFmt w:val="lowerRoman"/>
      <w:lvlText w:val="%9."/>
      <w:lvlJc w:val="right"/>
      <w:pPr>
        <w:ind w:left="8615" w:hanging="180"/>
      </w:pPr>
    </w:lvl>
  </w:abstractNum>
  <w:abstractNum w:abstractNumId="1">
    <w:nsid w:val="47793728"/>
    <w:multiLevelType w:val="multilevel"/>
    <w:tmpl w:val="1C066D76"/>
    <w:lvl w:ilvl="0">
      <w:numFmt w:val="decimal"/>
      <w:lvlText w:val=""/>
      <w:lvlJc w:val="left"/>
    </w:lvl>
    <w:lvl w:ilvl="1">
      <w:start w:val="1"/>
      <w:numFmt w:val="lowerLetter"/>
      <w:lvlText w:val="(%2)"/>
      <w:lvlJc w:val="left"/>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2A66A9D"/>
    <w:multiLevelType w:val="multilevel"/>
    <w:tmpl w:val="7C184B38"/>
    <w:styleLink w:val="Normallist"/>
    <w:lvl w:ilvl="0">
      <w:start w:val="1"/>
      <w:numFmt w:val="decimal"/>
      <w:lvlText w:val="%1."/>
      <w:lvlJc w:val="left"/>
      <w:pPr>
        <w:tabs>
          <w:tab w:val="num" w:pos="1134"/>
        </w:tabs>
        <w:ind w:left="1247"/>
      </w:pPr>
      <w:rPr>
        <w:rFonts w:cs="Times New Roman" w:hint="default"/>
      </w:rPr>
    </w:lvl>
    <w:lvl w:ilvl="1">
      <w:start w:val="1"/>
      <w:numFmt w:val="lowerLetter"/>
      <w:lvlText w:val="(%2)"/>
      <w:lvlJc w:val="left"/>
      <w:pPr>
        <w:tabs>
          <w:tab w:val="num" w:pos="1134"/>
        </w:tabs>
        <w:ind w:left="1247" w:firstLine="567"/>
      </w:pPr>
      <w:rPr>
        <w:rFonts w:cs="Times New Roman" w:hint="default"/>
      </w:rPr>
    </w:lvl>
    <w:lvl w:ilvl="2">
      <w:start w:val="1"/>
      <w:numFmt w:val="lowerRoman"/>
      <w:lvlText w:val="(%3)"/>
      <w:lvlJc w:val="left"/>
      <w:pPr>
        <w:tabs>
          <w:tab w:val="num" w:pos="1134"/>
        </w:tabs>
        <w:ind w:left="2948" w:hanging="567"/>
      </w:pPr>
      <w:rPr>
        <w:rFonts w:cs="Times New Roman" w:hint="default"/>
      </w:rPr>
    </w:lvl>
    <w:lvl w:ilvl="3">
      <w:start w:val="1"/>
      <w:numFmt w:val="lowerLetter"/>
      <w:lvlText w:val="%4."/>
      <w:lvlJc w:val="left"/>
      <w:pPr>
        <w:tabs>
          <w:tab w:val="num" w:pos="1134"/>
        </w:tabs>
        <w:ind w:left="3515" w:hanging="567"/>
      </w:pPr>
      <w:rPr>
        <w:rFonts w:cs="Times New Roman" w:hint="default"/>
      </w:rPr>
    </w:lvl>
    <w:lvl w:ilvl="4">
      <w:start w:val="1"/>
      <w:numFmt w:val="lowerRoman"/>
      <w:lvlText w:val="%5."/>
      <w:lvlJc w:val="left"/>
      <w:pPr>
        <w:tabs>
          <w:tab w:val="num" w:pos="1134"/>
        </w:tabs>
        <w:ind w:left="4082" w:hanging="567"/>
      </w:pPr>
      <w:rPr>
        <w:rFonts w:cs="Times New Roman" w:hint="default"/>
      </w:rPr>
    </w:lvl>
    <w:lvl w:ilvl="5">
      <w:start w:val="1"/>
      <w:numFmt w:val="lowerRoman"/>
      <w:lvlText w:val="%6."/>
      <w:lvlJc w:val="right"/>
      <w:pPr>
        <w:tabs>
          <w:tab w:val="num" w:pos="7835"/>
        </w:tabs>
        <w:ind w:left="7835" w:hanging="180"/>
      </w:pPr>
      <w:rPr>
        <w:rFonts w:cs="Times New Roman" w:hint="default"/>
      </w:rPr>
    </w:lvl>
    <w:lvl w:ilvl="6">
      <w:start w:val="1"/>
      <w:numFmt w:val="decimal"/>
      <w:lvlText w:val="%7."/>
      <w:lvlJc w:val="left"/>
      <w:pPr>
        <w:tabs>
          <w:tab w:val="num" w:pos="8555"/>
        </w:tabs>
        <w:ind w:left="8555" w:hanging="360"/>
      </w:pPr>
      <w:rPr>
        <w:rFonts w:cs="Times New Roman" w:hint="default"/>
      </w:rPr>
    </w:lvl>
    <w:lvl w:ilvl="7">
      <w:start w:val="1"/>
      <w:numFmt w:val="lowerLetter"/>
      <w:lvlText w:val="%8."/>
      <w:lvlJc w:val="left"/>
      <w:pPr>
        <w:tabs>
          <w:tab w:val="num" w:pos="9275"/>
        </w:tabs>
        <w:ind w:left="9275" w:hanging="360"/>
      </w:pPr>
      <w:rPr>
        <w:rFonts w:cs="Times New Roman" w:hint="default"/>
      </w:rPr>
    </w:lvl>
    <w:lvl w:ilvl="8">
      <w:start w:val="1"/>
      <w:numFmt w:val="lowerRoman"/>
      <w:lvlText w:val="%9."/>
      <w:lvlJc w:val="right"/>
      <w:pPr>
        <w:tabs>
          <w:tab w:val="num" w:pos="9995"/>
        </w:tabs>
        <w:ind w:left="9995" w:hanging="180"/>
      </w:pPr>
      <w:rPr>
        <w:rFonts w:cs="Times New Roman" w:hint="default"/>
      </w:rPr>
    </w:lvl>
  </w:abstractNum>
  <w:num w:numId="1">
    <w:abstractNumId w:val="2"/>
  </w:num>
  <w:num w:numId="2">
    <w:abstractNumId w:val="1"/>
  </w:num>
  <w:num w:numId="3">
    <w:abstractNumId w:val="2"/>
    <w:lvlOverride w:ilvl="0">
      <w:startOverride w:val="1"/>
      <w:lvl w:ilvl="0">
        <w:start w:val="1"/>
        <w:numFmt w:val="decimal"/>
        <w:lvlText w:val="%1."/>
        <w:lvlJc w:val="left"/>
        <w:pPr>
          <w:tabs>
            <w:tab w:val="num" w:pos="567"/>
          </w:tabs>
          <w:ind w:left="1247" w:firstLine="0"/>
        </w:pPr>
        <w:rPr>
          <w:rFonts w:hint="default"/>
          <w:b w:val="0"/>
          <w:i w:val="0"/>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7F0114"/>
    <w:rsid w:val="007F0114"/>
    <w:rsid w:val="008D35AD"/>
    <w:rsid w:val="00EE16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114"/>
    <w:pPr>
      <w:spacing w:after="0" w:line="240" w:lineRule="auto"/>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ool">
    <w:name w:val="Normal_pool"/>
    <w:link w:val="NormalpoolChar"/>
    <w:rsid w:val="007F0114"/>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fr-FR"/>
    </w:rPr>
  </w:style>
  <w:style w:type="paragraph" w:customStyle="1" w:styleId="Normal-pool">
    <w:name w:val="Normal-pool"/>
    <w:link w:val="Normal-poolChar"/>
    <w:rsid w:val="007F0114"/>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7F0114"/>
    <w:rPr>
      <w:rFonts w:ascii="Times New Roman" w:hAnsi="Times New Roman" w:cs="Times New Roman"/>
      <w:color w:val="auto"/>
      <w:sz w:val="18"/>
      <w:vertAlign w:val="superscript"/>
    </w:rPr>
  </w:style>
  <w:style w:type="character" w:customStyle="1" w:styleId="NormalnumberChar">
    <w:name w:val="Normal_number Char"/>
    <w:link w:val="Normalnumber"/>
    <w:locked/>
    <w:rsid w:val="007F0114"/>
    <w:rPr>
      <w:lang w:val="fr-FR"/>
    </w:rPr>
  </w:style>
  <w:style w:type="paragraph" w:customStyle="1" w:styleId="Normalnumber">
    <w:name w:val="Normal_number"/>
    <w:basedOn w:val="Normalpool"/>
    <w:link w:val="NormalnumberChar"/>
    <w:rsid w:val="007F0114"/>
    <w:pPr>
      <w:spacing w:after="120"/>
    </w:pPr>
    <w:rPr>
      <w:rFonts w:asciiTheme="minorHAnsi" w:eastAsiaTheme="minorHAnsi" w:hAnsiTheme="minorHAnsi" w:cstheme="minorBidi"/>
      <w:sz w:val="22"/>
      <w:szCs w:val="22"/>
      <w:lang/>
    </w:rPr>
  </w:style>
  <w:style w:type="character" w:customStyle="1" w:styleId="footnote">
    <w:name w:val="footnote"/>
    <w:aliases w:val="reference,16,Point,Superscript,61,68"/>
    <w:semiHidden/>
    <w:rsid w:val="007F0114"/>
    <w:rPr>
      <w:rFonts w:ascii="Times New Roman" w:hAnsi="Times New Roman"/>
      <w:color w:val="auto"/>
      <w:sz w:val="18"/>
      <w:vertAlign w:val="superscript"/>
    </w:rPr>
  </w:style>
  <w:style w:type="character" w:customStyle="1" w:styleId="Normal-poolChar">
    <w:name w:val="Normal-pool Char"/>
    <w:link w:val="Normal-pool"/>
    <w:locked/>
    <w:rsid w:val="007F0114"/>
    <w:rPr>
      <w:rFonts w:ascii="Times New Roman" w:eastAsia="Times New Roman" w:hAnsi="Times New Roman" w:cs="Times New Roman"/>
      <w:sz w:val="20"/>
      <w:szCs w:val="20"/>
      <w:lang w:val="en-GB"/>
    </w:rPr>
  </w:style>
  <w:style w:type="numbering" w:customStyle="1" w:styleId="Normallist">
    <w:name w:val="Normal_list"/>
    <w:rsid w:val="007F0114"/>
    <w:pPr>
      <w:numPr>
        <w:numId w:val="1"/>
      </w:numPr>
    </w:pPr>
  </w:style>
  <w:style w:type="character" w:customStyle="1" w:styleId="NormalpoolChar">
    <w:name w:val="Normal_pool Char"/>
    <w:link w:val="Normalpool"/>
    <w:rsid w:val="007F0114"/>
    <w:rPr>
      <w:rFonts w:ascii="Times New Roman" w:eastAsia="Times New Roman" w:hAnsi="Times New Roman" w:cs="Times New Roman"/>
      <w:sz w:val="20"/>
      <w:szCs w:val="20"/>
      <w:lang w:val="fr-FR"/>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738</Words>
  <Characters>4212</Characters>
  <Application>Microsoft Office Word</Application>
  <DocSecurity>0</DocSecurity>
  <Lines>35</Lines>
  <Paragraphs>9</Paragraphs>
  <ScaleCrop>false</ScaleCrop>
  <Company>BRS</Company>
  <LinksUpToDate>false</LinksUpToDate>
  <CharactersWithSpaces>4941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achakwera</dc:creator>
  <cp:lastModifiedBy>achakwera</cp:lastModifiedBy>
  <cp:revision>1</cp:revision>
  <dcterms:created xsi:type="dcterms:W3CDTF">2018-02-02T13:53:00Z</dcterms:created>
  <dcterms:modified xsi:type="dcterms:W3CDTF">2018-02-02T13:55:00Z</dcterms:modified>
</cp:coreProperties>
</file>