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413" w:rsidRPr="00965F70" w:rsidRDefault="00A23413" w:rsidP="00A23413">
      <w:pPr>
        <w:pStyle w:val="Normal-pool"/>
        <w:tabs>
          <w:tab w:val="clear" w:pos="1247"/>
          <w:tab w:val="clear" w:pos="1814"/>
          <w:tab w:val="clear" w:pos="2381"/>
          <w:tab w:val="clear" w:pos="2948"/>
          <w:tab w:val="clear" w:pos="3515"/>
          <w:tab w:val="left" w:pos="624"/>
        </w:tabs>
        <w:spacing w:after="120"/>
        <w:ind w:left="1276"/>
        <w:rPr>
          <w:sz w:val="28"/>
          <w:szCs w:val="28"/>
        </w:rPr>
      </w:pPr>
      <w:r w:rsidRPr="00965F70">
        <w:rPr>
          <w:b/>
          <w:sz w:val="28"/>
          <w:szCs w:val="28"/>
        </w:rPr>
        <w:t>RC-8/10: International cooperation and coordination</w:t>
      </w:r>
    </w:p>
    <w:p w:rsidR="00A23413" w:rsidRPr="00965F70" w:rsidRDefault="00A23413" w:rsidP="00A23413">
      <w:pPr>
        <w:tabs>
          <w:tab w:val="left" w:pos="624"/>
        </w:tabs>
        <w:spacing w:after="120"/>
        <w:ind w:left="1247" w:firstLine="624"/>
        <w:outlineLvl w:val="0"/>
        <w:rPr>
          <w:i/>
          <w:sz w:val="20"/>
        </w:rPr>
      </w:pPr>
      <w:r w:rsidRPr="00965F70">
        <w:rPr>
          <w:i/>
          <w:sz w:val="20"/>
        </w:rPr>
        <w:t>The Conference of the Parties</w:t>
      </w:r>
    </w:p>
    <w:p w:rsidR="00A23413" w:rsidRPr="00965F70" w:rsidRDefault="00A23413" w:rsidP="00A23413">
      <w:pPr>
        <w:pStyle w:val="Normalnumber"/>
        <w:numPr>
          <w:ilvl w:val="0"/>
          <w:numId w:val="3"/>
        </w:numPr>
        <w:tabs>
          <w:tab w:val="clear" w:pos="1247"/>
          <w:tab w:val="clear" w:pos="1814"/>
          <w:tab w:val="clear" w:pos="2381"/>
          <w:tab w:val="clear" w:pos="2948"/>
          <w:tab w:val="clear" w:pos="3515"/>
          <w:tab w:val="clear" w:pos="4082"/>
          <w:tab w:val="left" w:pos="624"/>
          <w:tab w:val="left" w:pos="1890"/>
          <w:tab w:val="left" w:pos="2430"/>
        </w:tabs>
        <w:ind w:firstLine="624"/>
        <w:rPr>
          <w:rFonts w:ascii="Times New Roman" w:hAnsi="Times New Roman" w:cs="Times New Roman"/>
          <w:sz w:val="20"/>
          <w:szCs w:val="20"/>
          <w:lang w:val="en-GB"/>
        </w:rPr>
      </w:pPr>
      <w:r w:rsidRPr="00965F70">
        <w:rPr>
          <w:rFonts w:ascii="Times New Roman" w:hAnsi="Times New Roman" w:cs="Times New Roman"/>
          <w:i/>
          <w:sz w:val="20"/>
          <w:szCs w:val="20"/>
          <w:lang w:val="en-GB"/>
        </w:rPr>
        <w:t xml:space="preserve">Takes note </w:t>
      </w:r>
      <w:r w:rsidRPr="00965F70">
        <w:rPr>
          <w:rFonts w:ascii="Times New Roman" w:hAnsi="Times New Roman" w:cs="Times New Roman"/>
          <w:sz w:val="20"/>
          <w:szCs w:val="20"/>
          <w:lang w:val="en-GB"/>
        </w:rPr>
        <w:t>of the report by the Secretariat on international cooperation and coordination;</w:t>
      </w:r>
      <w:r w:rsidRPr="00965F70">
        <w:rPr>
          <w:rFonts w:ascii="Times New Roman" w:hAnsi="Times New Roman" w:cs="Times New Roman"/>
          <w:sz w:val="20"/>
          <w:szCs w:val="20"/>
          <w:vertAlign w:val="superscript"/>
          <w:lang w:val="en-GB"/>
        </w:rPr>
        <w:footnoteReference w:id="1"/>
      </w:r>
      <w:r w:rsidRPr="00965F70">
        <w:rPr>
          <w:rFonts w:ascii="Times New Roman" w:hAnsi="Times New Roman" w:cs="Times New Roman"/>
          <w:sz w:val="20"/>
          <w:szCs w:val="20"/>
          <w:lang w:val="en-GB"/>
        </w:rPr>
        <w:t xml:space="preserve"> the note by the Secretariat on integrating chemicals and waste management into</w:t>
      </w:r>
      <w:r w:rsidRPr="00965F70">
        <w:rPr>
          <w:rFonts w:ascii="Times New Roman" w:hAnsi="Times New Roman" w:cs="Times New Roman"/>
          <w:i/>
          <w:sz w:val="20"/>
          <w:szCs w:val="20"/>
          <w:lang w:val="en-GB"/>
        </w:rPr>
        <w:t xml:space="preserve"> </w:t>
      </w:r>
      <w:r w:rsidRPr="00965F70">
        <w:rPr>
          <w:rFonts w:ascii="Times New Roman" w:hAnsi="Times New Roman" w:cs="Times New Roman"/>
          <w:sz w:val="20"/>
          <w:szCs w:val="20"/>
          <w:lang w:val="en-GB"/>
        </w:rPr>
        <w:t>the 2030 Agenda for Sustainable Development and the Sustainable Development Goals;</w:t>
      </w:r>
      <w:r w:rsidRPr="00965F70">
        <w:rPr>
          <w:rFonts w:ascii="Times New Roman" w:hAnsi="Times New Roman" w:cs="Times New Roman"/>
          <w:sz w:val="20"/>
          <w:szCs w:val="20"/>
          <w:vertAlign w:val="superscript"/>
          <w:lang w:val="en-GB"/>
        </w:rPr>
        <w:footnoteReference w:id="2"/>
      </w:r>
      <w:r w:rsidRPr="00965F70">
        <w:rPr>
          <w:rFonts w:ascii="Times New Roman" w:hAnsi="Times New Roman" w:cs="Times New Roman"/>
          <w:i/>
          <w:sz w:val="20"/>
          <w:szCs w:val="20"/>
          <w:lang w:val="en-GB"/>
        </w:rPr>
        <w:t xml:space="preserve"> </w:t>
      </w:r>
      <w:r w:rsidRPr="00965F70">
        <w:rPr>
          <w:rFonts w:ascii="Times New Roman" w:hAnsi="Times New Roman" w:cs="Times New Roman"/>
          <w:sz w:val="20"/>
          <w:szCs w:val="20"/>
          <w:lang w:val="en-GB"/>
        </w:rPr>
        <w:t>and</w:t>
      </w:r>
      <w:r w:rsidRPr="00965F70">
        <w:rPr>
          <w:rFonts w:ascii="Times New Roman" w:hAnsi="Times New Roman" w:cs="Times New Roman"/>
          <w:i/>
          <w:sz w:val="20"/>
          <w:szCs w:val="20"/>
          <w:lang w:val="en-GB"/>
        </w:rPr>
        <w:t xml:space="preserve"> </w:t>
      </w:r>
      <w:r w:rsidRPr="00965F70">
        <w:rPr>
          <w:rFonts w:ascii="Times New Roman" w:hAnsi="Times New Roman" w:cs="Times New Roman"/>
          <w:sz w:val="20"/>
          <w:szCs w:val="20"/>
          <w:lang w:val="en-GB"/>
        </w:rPr>
        <w:t>the information provided by the secretariat of the Strategic Approach to International Chemicals Management on the Strategic Approach and the sound management of chemicals and wastes beyond 2020;</w:t>
      </w:r>
      <w:r w:rsidRPr="00965F70">
        <w:rPr>
          <w:rFonts w:ascii="Times New Roman" w:hAnsi="Times New Roman" w:cs="Times New Roman"/>
          <w:sz w:val="20"/>
          <w:szCs w:val="20"/>
          <w:vertAlign w:val="superscript"/>
          <w:lang w:val="en-GB"/>
        </w:rPr>
        <w:footnoteReference w:id="3"/>
      </w:r>
      <w:bookmarkStart w:id="0" w:name="_GoBack"/>
      <w:bookmarkEnd w:id="0"/>
    </w:p>
    <w:p w:rsidR="00A23413" w:rsidRPr="00965F70" w:rsidRDefault="00A23413" w:rsidP="00A23413">
      <w:pPr>
        <w:pStyle w:val="Normalnumber"/>
        <w:numPr>
          <w:ilvl w:val="0"/>
          <w:numId w:val="2"/>
        </w:numPr>
        <w:tabs>
          <w:tab w:val="clear" w:pos="1247"/>
          <w:tab w:val="clear" w:pos="1814"/>
          <w:tab w:val="clear" w:pos="2381"/>
          <w:tab w:val="clear" w:pos="2948"/>
          <w:tab w:val="clear" w:pos="3515"/>
          <w:tab w:val="clear" w:pos="4082"/>
          <w:tab w:val="left" w:pos="624"/>
          <w:tab w:val="left" w:pos="1890"/>
          <w:tab w:val="left" w:pos="2430"/>
        </w:tabs>
        <w:ind w:firstLine="624"/>
        <w:rPr>
          <w:rFonts w:ascii="Times New Roman" w:hAnsi="Times New Roman" w:cs="Times New Roman"/>
          <w:sz w:val="20"/>
          <w:szCs w:val="20"/>
          <w:lang w:val="en-GB"/>
        </w:rPr>
      </w:pPr>
      <w:r w:rsidRPr="00965F70">
        <w:rPr>
          <w:rFonts w:ascii="Times New Roman" w:hAnsi="Times New Roman" w:cs="Times New Roman"/>
          <w:i/>
          <w:sz w:val="20"/>
          <w:szCs w:val="20"/>
          <w:lang w:val="en-GB"/>
        </w:rPr>
        <w:t>Welcomes</w:t>
      </w:r>
      <w:r w:rsidRPr="00965F70">
        <w:rPr>
          <w:rFonts w:ascii="Times New Roman" w:hAnsi="Times New Roman" w:cs="Times New Roman"/>
          <w:sz w:val="20"/>
          <w:szCs w:val="20"/>
          <w:lang w:val="en-GB"/>
        </w:rPr>
        <w:t xml:space="preserve"> the 2030 Agenda for Sustainable Development, which includes the sound management of chemicals and wastes as an essential and integral cross-cutting element of sustainable development;</w:t>
      </w:r>
    </w:p>
    <w:p w:rsidR="00A23413" w:rsidRPr="00965F70" w:rsidRDefault="00A23413" w:rsidP="00A23413">
      <w:pPr>
        <w:pStyle w:val="Normalnumber"/>
        <w:numPr>
          <w:ilvl w:val="0"/>
          <w:numId w:val="2"/>
        </w:numPr>
        <w:tabs>
          <w:tab w:val="clear" w:pos="1247"/>
          <w:tab w:val="clear" w:pos="1814"/>
          <w:tab w:val="clear" w:pos="2381"/>
          <w:tab w:val="clear" w:pos="2948"/>
          <w:tab w:val="clear" w:pos="3515"/>
          <w:tab w:val="clear" w:pos="4082"/>
          <w:tab w:val="left" w:pos="624"/>
          <w:tab w:val="left" w:pos="1890"/>
          <w:tab w:val="left" w:pos="2430"/>
        </w:tabs>
        <w:ind w:firstLine="624"/>
        <w:rPr>
          <w:rFonts w:ascii="Times New Roman" w:hAnsi="Times New Roman" w:cs="Times New Roman"/>
          <w:sz w:val="20"/>
          <w:szCs w:val="20"/>
          <w:lang w:val="en-GB"/>
        </w:rPr>
      </w:pPr>
      <w:r w:rsidRPr="00965F70">
        <w:rPr>
          <w:rFonts w:ascii="Times New Roman" w:hAnsi="Times New Roman" w:cs="Times New Roman"/>
          <w:i/>
          <w:sz w:val="20"/>
          <w:szCs w:val="20"/>
          <w:lang w:val="en-GB"/>
        </w:rPr>
        <w:t xml:space="preserve">Emphasizes </w:t>
      </w:r>
      <w:r w:rsidRPr="00965F70">
        <w:rPr>
          <w:rFonts w:ascii="Times New Roman" w:hAnsi="Times New Roman" w:cs="Times New Roman"/>
          <w:sz w:val="20"/>
          <w:szCs w:val="20"/>
          <w:lang w:val="en-GB"/>
        </w:rPr>
        <w:t>the important contributions of the Basel Convention on the Control of Transboundary Movements of Hazardous Wastes and Their Disposal, the Rotterdam Convention on the Prior Informed Consent Procedure for Certain Hazardous Chemicals and Pesticides in International Trade and the Stockholm Convention on Persistent Organic Pollutants to supporting the Parties to those conventions in implementing the 2030 Agenda for Sustainable Development and the achievement of the relevant Sustainable Development Goals and associated targets;</w:t>
      </w:r>
    </w:p>
    <w:p w:rsidR="00A23413" w:rsidRPr="00965F70" w:rsidRDefault="00A23413" w:rsidP="00A23413">
      <w:pPr>
        <w:pStyle w:val="Normalnumber"/>
        <w:numPr>
          <w:ilvl w:val="0"/>
          <w:numId w:val="2"/>
        </w:numPr>
        <w:tabs>
          <w:tab w:val="clear" w:pos="1247"/>
          <w:tab w:val="clear" w:pos="1814"/>
          <w:tab w:val="clear" w:pos="2381"/>
          <w:tab w:val="clear" w:pos="2948"/>
          <w:tab w:val="clear" w:pos="3515"/>
          <w:tab w:val="clear" w:pos="4082"/>
          <w:tab w:val="left" w:pos="624"/>
          <w:tab w:val="left" w:pos="1890"/>
          <w:tab w:val="left" w:pos="2430"/>
        </w:tabs>
        <w:ind w:firstLine="624"/>
        <w:rPr>
          <w:rFonts w:ascii="Times New Roman" w:hAnsi="Times New Roman" w:cs="Times New Roman"/>
          <w:sz w:val="20"/>
          <w:szCs w:val="20"/>
          <w:lang w:val="en-GB"/>
        </w:rPr>
      </w:pPr>
      <w:r w:rsidRPr="00965F70">
        <w:rPr>
          <w:rFonts w:ascii="Times New Roman" w:hAnsi="Times New Roman" w:cs="Times New Roman"/>
          <w:i/>
          <w:sz w:val="20"/>
          <w:szCs w:val="20"/>
          <w:lang w:val="en-GB"/>
        </w:rPr>
        <w:t xml:space="preserve">Takes note </w:t>
      </w:r>
      <w:r w:rsidRPr="00965F70">
        <w:rPr>
          <w:rFonts w:ascii="Times New Roman" w:hAnsi="Times New Roman" w:cs="Times New Roman"/>
          <w:sz w:val="20"/>
          <w:szCs w:val="20"/>
          <w:lang w:val="en-GB"/>
        </w:rPr>
        <w:t>of</w:t>
      </w:r>
      <w:r w:rsidRPr="00965F70">
        <w:rPr>
          <w:rFonts w:ascii="Times New Roman" w:hAnsi="Times New Roman" w:cs="Times New Roman"/>
          <w:i/>
          <w:sz w:val="20"/>
          <w:szCs w:val="20"/>
          <w:lang w:val="en-GB"/>
        </w:rPr>
        <w:t xml:space="preserve"> </w:t>
      </w:r>
      <w:r w:rsidRPr="00965F70">
        <w:rPr>
          <w:rFonts w:ascii="Times New Roman" w:hAnsi="Times New Roman" w:cs="Times New Roman"/>
          <w:sz w:val="20"/>
          <w:szCs w:val="20"/>
          <w:lang w:val="en-GB"/>
        </w:rPr>
        <w:t>the methodology for the collection of data relevant to the indicators of the Sustainable Development Goals and requests the Secretariat to continue to cooperate with the United Nations Environment Programme and the secretariats of other chemicals and wastes-related multilateral environmental agreements to ensure a coordinated approach to the implementation of the methodology;</w:t>
      </w:r>
    </w:p>
    <w:p w:rsidR="00A23413" w:rsidRPr="00965F70" w:rsidRDefault="00A23413" w:rsidP="00A23413">
      <w:pPr>
        <w:pStyle w:val="Normalnumber"/>
        <w:numPr>
          <w:ilvl w:val="0"/>
          <w:numId w:val="2"/>
        </w:numPr>
        <w:tabs>
          <w:tab w:val="clear" w:pos="1247"/>
          <w:tab w:val="clear" w:pos="1814"/>
          <w:tab w:val="clear" w:pos="2381"/>
          <w:tab w:val="clear" w:pos="2948"/>
          <w:tab w:val="clear" w:pos="3515"/>
          <w:tab w:val="clear" w:pos="4082"/>
          <w:tab w:val="left" w:pos="624"/>
          <w:tab w:val="left" w:pos="1890"/>
          <w:tab w:val="left" w:pos="2430"/>
        </w:tabs>
        <w:ind w:firstLine="624"/>
        <w:rPr>
          <w:rFonts w:ascii="Times New Roman" w:hAnsi="Times New Roman" w:cs="Times New Roman"/>
          <w:sz w:val="20"/>
          <w:szCs w:val="20"/>
          <w:lang w:val="en-GB"/>
        </w:rPr>
      </w:pPr>
      <w:r w:rsidRPr="00965F70">
        <w:rPr>
          <w:rFonts w:ascii="Times New Roman" w:hAnsi="Times New Roman" w:cs="Times New Roman"/>
          <w:i/>
          <w:sz w:val="20"/>
          <w:szCs w:val="20"/>
          <w:lang w:val="en-GB"/>
        </w:rPr>
        <w:t>Requests</w:t>
      </w:r>
      <w:r w:rsidRPr="00965F70">
        <w:rPr>
          <w:rFonts w:ascii="Times New Roman" w:hAnsi="Times New Roman" w:cs="Times New Roman"/>
          <w:sz w:val="20"/>
          <w:szCs w:val="20"/>
          <w:lang w:val="en-GB"/>
        </w:rPr>
        <w:t xml:space="preserve"> the Secretariat to make available to the United Nations Environment Programme information relevant to the implementation of the 2030 Agenda for Sustainable Development submitted to it by Parties, as a contribution to the overall follow-up and review by the High-level Political Forum on Sustainable Development; </w:t>
      </w:r>
    </w:p>
    <w:p w:rsidR="00A23413" w:rsidRPr="00965F70" w:rsidRDefault="00A23413" w:rsidP="00A23413">
      <w:pPr>
        <w:pStyle w:val="Normalnumber"/>
        <w:numPr>
          <w:ilvl w:val="0"/>
          <w:numId w:val="2"/>
        </w:numPr>
        <w:tabs>
          <w:tab w:val="clear" w:pos="1247"/>
          <w:tab w:val="clear" w:pos="1814"/>
          <w:tab w:val="clear" w:pos="2381"/>
          <w:tab w:val="clear" w:pos="2948"/>
          <w:tab w:val="clear" w:pos="3515"/>
          <w:tab w:val="clear" w:pos="4082"/>
          <w:tab w:val="left" w:pos="624"/>
          <w:tab w:val="left" w:pos="1890"/>
          <w:tab w:val="left" w:pos="2430"/>
        </w:tabs>
        <w:ind w:firstLine="624"/>
        <w:rPr>
          <w:rFonts w:ascii="Times New Roman" w:hAnsi="Times New Roman" w:cs="Times New Roman"/>
          <w:sz w:val="20"/>
          <w:szCs w:val="20"/>
          <w:lang w:val="en-GB"/>
        </w:rPr>
      </w:pPr>
      <w:r w:rsidRPr="00965F70">
        <w:rPr>
          <w:rFonts w:ascii="Times New Roman" w:hAnsi="Times New Roman" w:cs="Times New Roman"/>
          <w:i/>
          <w:sz w:val="20"/>
          <w:szCs w:val="20"/>
          <w:lang w:val="en-GB"/>
        </w:rPr>
        <w:t xml:space="preserve">Also requests </w:t>
      </w:r>
      <w:r w:rsidRPr="00965F70">
        <w:rPr>
          <w:rFonts w:ascii="Times New Roman" w:hAnsi="Times New Roman" w:cs="Times New Roman"/>
          <w:sz w:val="20"/>
          <w:szCs w:val="20"/>
          <w:lang w:val="en-GB"/>
        </w:rPr>
        <w:t>the Secretariat to continue to cooperate with the United Nations Environment Programme, the United Nations Statistics Division and other relevant organizations in the development of methodologies for indicators relevant to the Basel, Rotterdam and Stockholm conventions;</w:t>
      </w:r>
      <w:r w:rsidRPr="00965F70">
        <w:rPr>
          <w:rStyle w:val="FootnoteReference"/>
          <w:rFonts w:cs="Times New Roman"/>
          <w:szCs w:val="20"/>
          <w:lang w:val="en-GB"/>
        </w:rPr>
        <w:footnoteReference w:id="4"/>
      </w:r>
      <w:r w:rsidRPr="00965F70">
        <w:rPr>
          <w:rFonts w:ascii="Times New Roman" w:hAnsi="Times New Roman" w:cs="Times New Roman"/>
          <w:sz w:val="20"/>
          <w:szCs w:val="20"/>
          <w:lang w:val="en-GB"/>
        </w:rPr>
        <w:t xml:space="preserve"> </w:t>
      </w:r>
    </w:p>
    <w:p w:rsidR="00A23413" w:rsidRPr="00965F70" w:rsidRDefault="00A23413" w:rsidP="00A23413">
      <w:pPr>
        <w:pStyle w:val="Normalnumber"/>
        <w:numPr>
          <w:ilvl w:val="0"/>
          <w:numId w:val="2"/>
        </w:numPr>
        <w:tabs>
          <w:tab w:val="clear" w:pos="1247"/>
          <w:tab w:val="clear" w:pos="1814"/>
          <w:tab w:val="clear" w:pos="2381"/>
          <w:tab w:val="clear" w:pos="2948"/>
          <w:tab w:val="clear" w:pos="3515"/>
          <w:tab w:val="clear" w:pos="4082"/>
          <w:tab w:val="left" w:pos="624"/>
          <w:tab w:val="left" w:pos="1890"/>
          <w:tab w:val="left" w:pos="2430"/>
        </w:tabs>
        <w:ind w:firstLine="624"/>
        <w:rPr>
          <w:rFonts w:ascii="Times New Roman" w:hAnsi="Times New Roman" w:cs="Times New Roman"/>
          <w:sz w:val="20"/>
          <w:szCs w:val="20"/>
          <w:lang w:val="en-GB"/>
        </w:rPr>
      </w:pPr>
      <w:r w:rsidRPr="00965F70">
        <w:rPr>
          <w:rFonts w:ascii="Times New Roman" w:hAnsi="Times New Roman" w:cs="Times New Roman"/>
          <w:i/>
          <w:color w:val="000000"/>
          <w:sz w:val="20"/>
          <w:szCs w:val="20"/>
          <w:lang w:val="en-GB"/>
        </w:rPr>
        <w:t>Further re</w:t>
      </w:r>
      <w:r w:rsidRPr="00965F70">
        <w:rPr>
          <w:rFonts w:ascii="Times New Roman" w:hAnsi="Times New Roman" w:cs="Times New Roman"/>
          <w:i/>
          <w:sz w:val="20"/>
          <w:szCs w:val="20"/>
          <w:lang w:val="en-GB"/>
        </w:rPr>
        <w:t xml:space="preserve">quests </w:t>
      </w:r>
      <w:r w:rsidRPr="00965F70">
        <w:rPr>
          <w:rFonts w:ascii="Times New Roman" w:hAnsi="Times New Roman" w:cs="Times New Roman"/>
          <w:sz w:val="20"/>
          <w:szCs w:val="20"/>
          <w:lang w:val="en-GB"/>
        </w:rPr>
        <w:t xml:space="preserve">the Secretariat, subject to the availability of resources, to assist Parties, upon request, in their efforts to integrate relevant elements of the conventions into their national plans and strategies for sustainable development, and, as appropriate, legislation; </w:t>
      </w:r>
    </w:p>
    <w:p w:rsidR="00A23413" w:rsidRPr="00965F70" w:rsidRDefault="00A23413" w:rsidP="00A23413">
      <w:pPr>
        <w:pStyle w:val="Normalnumber"/>
        <w:numPr>
          <w:ilvl w:val="0"/>
          <w:numId w:val="2"/>
        </w:numPr>
        <w:tabs>
          <w:tab w:val="clear" w:pos="1247"/>
          <w:tab w:val="clear" w:pos="1814"/>
          <w:tab w:val="clear" w:pos="2381"/>
          <w:tab w:val="clear" w:pos="2948"/>
          <w:tab w:val="clear" w:pos="3515"/>
          <w:tab w:val="clear" w:pos="4082"/>
          <w:tab w:val="left" w:pos="624"/>
          <w:tab w:val="left" w:pos="1890"/>
          <w:tab w:val="left" w:pos="2430"/>
        </w:tabs>
        <w:ind w:firstLine="624"/>
        <w:rPr>
          <w:rFonts w:ascii="Times New Roman" w:hAnsi="Times New Roman" w:cs="Times New Roman"/>
          <w:sz w:val="20"/>
          <w:szCs w:val="20"/>
          <w:lang w:val="en-GB"/>
        </w:rPr>
      </w:pPr>
      <w:r w:rsidRPr="00965F70">
        <w:rPr>
          <w:rFonts w:ascii="Times New Roman" w:hAnsi="Times New Roman" w:cs="Times New Roman"/>
          <w:i/>
          <w:color w:val="000000"/>
          <w:sz w:val="20"/>
          <w:szCs w:val="20"/>
          <w:lang w:val="en-GB"/>
        </w:rPr>
        <w:t xml:space="preserve">Welcomes </w:t>
      </w:r>
      <w:r w:rsidRPr="00965F70">
        <w:rPr>
          <w:rFonts w:ascii="Times New Roman" w:hAnsi="Times New Roman" w:cs="Times New Roman"/>
          <w:color w:val="000000"/>
          <w:sz w:val="20"/>
          <w:szCs w:val="20"/>
          <w:lang w:val="en-GB"/>
        </w:rPr>
        <w:t xml:space="preserve">the adoption of </w:t>
      </w:r>
      <w:r w:rsidRPr="00965F70">
        <w:rPr>
          <w:rFonts w:ascii="Times New Roman" w:hAnsi="Times New Roman" w:cs="Times New Roman"/>
          <w:iCs/>
          <w:color w:val="000000"/>
          <w:sz w:val="20"/>
          <w:szCs w:val="20"/>
          <w:lang w:val="en-GB"/>
        </w:rPr>
        <w:t xml:space="preserve">relevant </w:t>
      </w:r>
      <w:r w:rsidRPr="00965F70">
        <w:rPr>
          <w:rFonts w:ascii="Times New Roman" w:hAnsi="Times New Roman" w:cs="Times New Roman"/>
          <w:color w:val="000000"/>
          <w:sz w:val="20"/>
          <w:szCs w:val="20"/>
          <w:lang w:val="en-GB"/>
        </w:rPr>
        <w:t>resolutions</w:t>
      </w:r>
      <w:r w:rsidRPr="00965F70">
        <w:rPr>
          <w:rFonts w:ascii="Times New Roman" w:hAnsi="Times New Roman" w:cs="Times New Roman"/>
          <w:sz w:val="20"/>
          <w:szCs w:val="20"/>
          <w:lang w:val="en-GB"/>
        </w:rPr>
        <w:t xml:space="preserve"> by the United Nations Environment Assembly at its second session, invites the Executive Director </w:t>
      </w:r>
      <w:r w:rsidRPr="00965F70">
        <w:rPr>
          <w:rFonts w:ascii="Times New Roman" w:hAnsi="Times New Roman" w:cs="Times New Roman"/>
          <w:color w:val="000000"/>
          <w:sz w:val="20"/>
          <w:szCs w:val="20"/>
          <w:lang w:val="en-GB"/>
        </w:rPr>
        <w:t xml:space="preserve">of the United </w:t>
      </w:r>
      <w:r w:rsidRPr="00965F70">
        <w:rPr>
          <w:rFonts w:ascii="Times New Roman" w:hAnsi="Times New Roman" w:cs="Times New Roman"/>
          <w:sz w:val="20"/>
          <w:szCs w:val="20"/>
          <w:lang w:val="en-GB"/>
        </w:rPr>
        <w:t>Nations</w:t>
      </w:r>
      <w:r w:rsidRPr="00965F70">
        <w:rPr>
          <w:rFonts w:ascii="Times New Roman" w:hAnsi="Times New Roman" w:cs="Times New Roman"/>
          <w:color w:val="000000"/>
          <w:sz w:val="20"/>
          <w:szCs w:val="20"/>
          <w:lang w:val="en-GB"/>
        </w:rPr>
        <w:t xml:space="preserve"> Environment Programme </w:t>
      </w:r>
      <w:r w:rsidRPr="00965F70">
        <w:rPr>
          <w:rFonts w:ascii="Times New Roman" w:hAnsi="Times New Roman" w:cs="Times New Roman"/>
          <w:sz w:val="20"/>
          <w:szCs w:val="20"/>
          <w:lang w:val="en-GB"/>
        </w:rPr>
        <w:t xml:space="preserve">to take into account the work of the conventions in the implementation of those resolutions, </w:t>
      </w:r>
      <w:r w:rsidRPr="00965F70">
        <w:rPr>
          <w:rFonts w:ascii="Times New Roman" w:hAnsi="Times New Roman" w:cs="Times New Roman"/>
          <w:color w:val="000000"/>
          <w:sz w:val="20"/>
          <w:szCs w:val="20"/>
          <w:lang w:val="en-GB"/>
        </w:rPr>
        <w:t xml:space="preserve">and requests the Executive Secretary of the Basel, Rotterdam and Stockholm conventions to cooperate with the Executive Director of the United </w:t>
      </w:r>
      <w:r w:rsidRPr="00965F70">
        <w:rPr>
          <w:rFonts w:ascii="Times New Roman" w:hAnsi="Times New Roman" w:cs="Times New Roman"/>
          <w:sz w:val="20"/>
          <w:szCs w:val="20"/>
          <w:lang w:val="en-GB"/>
        </w:rPr>
        <w:t>Nations</w:t>
      </w:r>
      <w:r w:rsidRPr="00965F70">
        <w:rPr>
          <w:rFonts w:ascii="Times New Roman" w:hAnsi="Times New Roman" w:cs="Times New Roman"/>
          <w:color w:val="000000"/>
          <w:sz w:val="20"/>
          <w:szCs w:val="20"/>
          <w:lang w:val="en-GB"/>
        </w:rPr>
        <w:t xml:space="preserve"> Environment Programme in the implementation of those resolutions;</w:t>
      </w:r>
    </w:p>
    <w:p w:rsidR="00A23413" w:rsidRPr="00965F70" w:rsidRDefault="00A23413" w:rsidP="00A23413">
      <w:pPr>
        <w:pStyle w:val="Normalnumber"/>
        <w:numPr>
          <w:ilvl w:val="0"/>
          <w:numId w:val="2"/>
        </w:numPr>
        <w:tabs>
          <w:tab w:val="clear" w:pos="1247"/>
          <w:tab w:val="clear" w:pos="1814"/>
          <w:tab w:val="clear" w:pos="2381"/>
          <w:tab w:val="clear" w:pos="2948"/>
          <w:tab w:val="clear" w:pos="3515"/>
          <w:tab w:val="clear" w:pos="4082"/>
          <w:tab w:val="left" w:pos="624"/>
          <w:tab w:val="left" w:pos="1890"/>
          <w:tab w:val="left" w:pos="2430"/>
        </w:tabs>
        <w:ind w:firstLine="624"/>
        <w:rPr>
          <w:rFonts w:ascii="Times New Roman" w:hAnsi="Times New Roman" w:cs="Times New Roman"/>
          <w:sz w:val="20"/>
          <w:szCs w:val="20"/>
          <w:lang w:val="en-GB"/>
        </w:rPr>
      </w:pPr>
      <w:r w:rsidRPr="00965F70">
        <w:rPr>
          <w:rFonts w:ascii="Times New Roman" w:hAnsi="Times New Roman" w:cs="Times New Roman"/>
          <w:i/>
          <w:sz w:val="20"/>
          <w:szCs w:val="20"/>
          <w:lang w:val="en-GB"/>
        </w:rPr>
        <w:t xml:space="preserve">Welcomes </w:t>
      </w:r>
      <w:r w:rsidRPr="00965F70">
        <w:rPr>
          <w:rFonts w:ascii="Times New Roman" w:hAnsi="Times New Roman" w:cs="Times New Roman"/>
          <w:sz w:val="20"/>
          <w:szCs w:val="20"/>
          <w:lang w:val="en-GB"/>
        </w:rPr>
        <w:t xml:space="preserve">the resolutions adopted at the fourth session of the International Conference on Chemicals Management, including in particular the endorsement of the overall orientation and guidance for achieving the 2020 goal, and the resolution to launch an intersessional </w:t>
      </w:r>
      <w:r w:rsidRPr="00965F70">
        <w:rPr>
          <w:rFonts w:ascii="Times New Roman" w:hAnsi="Times New Roman" w:cs="Times New Roman"/>
          <w:color w:val="000000"/>
          <w:sz w:val="20"/>
          <w:szCs w:val="20"/>
          <w:lang w:val="en-GB"/>
        </w:rPr>
        <w:t>process</w:t>
      </w:r>
      <w:r w:rsidRPr="00965F70">
        <w:rPr>
          <w:rFonts w:ascii="Times New Roman" w:hAnsi="Times New Roman" w:cs="Times New Roman"/>
          <w:sz w:val="20"/>
          <w:szCs w:val="20"/>
          <w:lang w:val="en-GB"/>
        </w:rPr>
        <w:t xml:space="preserve"> on the sound management of chemicals and waste beyond 2020, and requests the Secretariat to continue to cooperate with the secretariat of the Strategic Approach in this respect and to participate in and </w:t>
      </w:r>
      <w:r w:rsidRPr="00965F70">
        <w:rPr>
          <w:rFonts w:ascii="Times New Roman" w:hAnsi="Times New Roman" w:cs="Times New Roman"/>
          <w:sz w:val="20"/>
          <w:szCs w:val="20"/>
          <w:lang w:val="en-GB"/>
        </w:rPr>
        <w:lastRenderedPageBreak/>
        <w:t>provide relevant input to the Strategic Approach intersessional process on the sound management of chemicals and waste beyond 2020;</w:t>
      </w:r>
    </w:p>
    <w:p w:rsidR="00A23413" w:rsidRPr="00965F70" w:rsidRDefault="00A23413" w:rsidP="00A23413">
      <w:pPr>
        <w:pStyle w:val="Normalnumber"/>
        <w:keepNext/>
        <w:keepLines/>
        <w:numPr>
          <w:ilvl w:val="0"/>
          <w:numId w:val="2"/>
        </w:numPr>
        <w:tabs>
          <w:tab w:val="clear" w:pos="1247"/>
          <w:tab w:val="clear" w:pos="1814"/>
          <w:tab w:val="clear" w:pos="2381"/>
          <w:tab w:val="clear" w:pos="2948"/>
          <w:tab w:val="clear" w:pos="3515"/>
          <w:tab w:val="clear" w:pos="4082"/>
          <w:tab w:val="left" w:pos="624"/>
          <w:tab w:val="left" w:pos="1890"/>
          <w:tab w:val="left" w:pos="2430"/>
        </w:tabs>
        <w:ind w:firstLine="624"/>
        <w:rPr>
          <w:rFonts w:ascii="Times New Roman" w:hAnsi="Times New Roman" w:cs="Times New Roman"/>
          <w:sz w:val="20"/>
          <w:szCs w:val="20"/>
          <w:lang w:val="en-GB"/>
        </w:rPr>
      </w:pPr>
      <w:r w:rsidRPr="00965F70">
        <w:rPr>
          <w:rFonts w:ascii="Times New Roman" w:hAnsi="Times New Roman" w:cs="Times New Roman"/>
          <w:i/>
          <w:color w:val="000000"/>
          <w:sz w:val="20"/>
          <w:szCs w:val="20"/>
          <w:lang w:val="en-GB"/>
        </w:rPr>
        <w:t>Requests</w:t>
      </w:r>
      <w:r w:rsidRPr="00965F70">
        <w:rPr>
          <w:rFonts w:ascii="Times New Roman" w:hAnsi="Times New Roman" w:cs="Times New Roman"/>
          <w:color w:val="000000"/>
          <w:sz w:val="20"/>
          <w:szCs w:val="20"/>
          <w:lang w:val="en-GB"/>
        </w:rPr>
        <w:t xml:space="preserve"> the Secretariat to continue to enhance cooperation and coordination with the interim secretariat of the </w:t>
      </w:r>
      <w:proofErr w:type="spellStart"/>
      <w:r w:rsidRPr="00965F70">
        <w:rPr>
          <w:rFonts w:ascii="Times New Roman" w:hAnsi="Times New Roman" w:cs="Times New Roman"/>
          <w:color w:val="000000"/>
          <w:sz w:val="20"/>
          <w:szCs w:val="20"/>
          <w:lang w:val="en-GB"/>
        </w:rPr>
        <w:t>Minamata</w:t>
      </w:r>
      <w:proofErr w:type="spellEnd"/>
      <w:r w:rsidRPr="00965F70">
        <w:rPr>
          <w:rFonts w:ascii="Times New Roman" w:hAnsi="Times New Roman" w:cs="Times New Roman"/>
          <w:color w:val="000000"/>
          <w:sz w:val="20"/>
          <w:szCs w:val="20"/>
          <w:lang w:val="en-GB"/>
        </w:rPr>
        <w:t xml:space="preserve"> Convention on Mercury and the secretariat of the Strategic Approach in areas of relevance to the </w:t>
      </w:r>
      <w:r w:rsidRPr="00965F70">
        <w:rPr>
          <w:rFonts w:ascii="Times New Roman" w:hAnsi="Times New Roman" w:cs="Times New Roman"/>
          <w:sz w:val="20"/>
          <w:szCs w:val="20"/>
          <w:lang w:val="en-GB"/>
        </w:rPr>
        <w:t>Basel</w:t>
      </w:r>
      <w:r w:rsidRPr="00965F70">
        <w:rPr>
          <w:rFonts w:ascii="Times New Roman" w:hAnsi="Times New Roman" w:cs="Times New Roman"/>
          <w:color w:val="000000"/>
          <w:sz w:val="20"/>
          <w:szCs w:val="20"/>
          <w:lang w:val="en-GB"/>
        </w:rPr>
        <w:t xml:space="preserve">, Rotterdam and Stockholm </w:t>
      </w:r>
      <w:r w:rsidRPr="00965F70">
        <w:rPr>
          <w:rFonts w:ascii="Times New Roman" w:hAnsi="Times New Roman" w:cs="Times New Roman"/>
          <w:sz w:val="20"/>
          <w:szCs w:val="20"/>
          <w:lang w:val="en-GB"/>
        </w:rPr>
        <w:t>conventions,</w:t>
      </w:r>
      <w:r w:rsidRPr="00965F70">
        <w:rPr>
          <w:rFonts w:ascii="Times New Roman" w:hAnsi="Times New Roman" w:cs="Times New Roman"/>
          <w:iCs/>
          <w:color w:val="000000"/>
          <w:sz w:val="20"/>
          <w:szCs w:val="20"/>
          <w:lang w:val="en-GB"/>
        </w:rPr>
        <w:t xml:space="preserve"> as well as</w:t>
      </w:r>
      <w:r w:rsidRPr="00965F70">
        <w:rPr>
          <w:rFonts w:ascii="Times New Roman" w:hAnsi="Times New Roman" w:cs="Times New Roman"/>
          <w:color w:val="000000"/>
          <w:sz w:val="20"/>
          <w:szCs w:val="20"/>
          <w:lang w:val="en-GB"/>
        </w:rPr>
        <w:t xml:space="preserve"> with the </w:t>
      </w:r>
      <w:r w:rsidRPr="00965F70">
        <w:rPr>
          <w:rFonts w:ascii="Times New Roman" w:hAnsi="Times New Roman" w:cs="Times New Roman"/>
          <w:iCs/>
          <w:color w:val="000000"/>
          <w:sz w:val="20"/>
          <w:szCs w:val="20"/>
          <w:lang w:val="en-GB"/>
        </w:rPr>
        <w:t xml:space="preserve">international </w:t>
      </w:r>
      <w:r w:rsidRPr="00965F70">
        <w:rPr>
          <w:rFonts w:ascii="Times New Roman" w:hAnsi="Times New Roman" w:cs="Times New Roman"/>
          <w:color w:val="000000"/>
          <w:sz w:val="20"/>
          <w:szCs w:val="20"/>
          <w:lang w:val="en-GB"/>
        </w:rPr>
        <w:t xml:space="preserve">organizations </w:t>
      </w:r>
      <w:r w:rsidRPr="00965F70">
        <w:rPr>
          <w:rFonts w:ascii="Times New Roman" w:hAnsi="Times New Roman" w:cs="Times New Roman"/>
          <w:iCs/>
          <w:color w:val="000000"/>
          <w:sz w:val="20"/>
          <w:szCs w:val="20"/>
          <w:lang w:val="en-GB"/>
        </w:rPr>
        <w:t xml:space="preserve">and the activities </w:t>
      </w:r>
      <w:r w:rsidRPr="00965F70">
        <w:rPr>
          <w:rFonts w:ascii="Times New Roman" w:hAnsi="Times New Roman" w:cs="Times New Roman"/>
          <w:color w:val="000000"/>
          <w:sz w:val="20"/>
          <w:szCs w:val="20"/>
          <w:lang w:val="en-GB"/>
        </w:rPr>
        <w:t xml:space="preserve">listed in the report </w:t>
      </w:r>
      <w:r w:rsidRPr="00965F70">
        <w:rPr>
          <w:rFonts w:ascii="Times New Roman" w:hAnsi="Times New Roman" w:cs="Times New Roman"/>
          <w:sz w:val="20"/>
          <w:szCs w:val="20"/>
          <w:lang w:val="en-GB"/>
        </w:rPr>
        <w:t>by the Secretariat on international cooperation and coordination;</w:t>
      </w:r>
      <w:r w:rsidRPr="00965F70">
        <w:rPr>
          <w:rFonts w:ascii="Times New Roman" w:hAnsi="Times New Roman" w:cs="Times New Roman"/>
          <w:sz w:val="20"/>
          <w:szCs w:val="20"/>
          <w:vertAlign w:val="superscript"/>
          <w:lang w:val="en-GB"/>
        </w:rPr>
        <w:footnoteReference w:id="5"/>
      </w:r>
      <w:r w:rsidRPr="00965F70">
        <w:rPr>
          <w:rFonts w:ascii="Times New Roman" w:hAnsi="Times New Roman" w:cs="Times New Roman"/>
          <w:sz w:val="20"/>
          <w:szCs w:val="20"/>
          <w:lang w:val="en-GB"/>
        </w:rPr>
        <w:t xml:space="preserve"> </w:t>
      </w:r>
    </w:p>
    <w:p w:rsidR="00A23413" w:rsidRPr="00965F70" w:rsidRDefault="00A23413" w:rsidP="00A23413">
      <w:pPr>
        <w:pStyle w:val="Normalnumber"/>
        <w:numPr>
          <w:ilvl w:val="0"/>
          <w:numId w:val="2"/>
        </w:numPr>
        <w:tabs>
          <w:tab w:val="clear" w:pos="1247"/>
          <w:tab w:val="clear" w:pos="1814"/>
          <w:tab w:val="clear" w:pos="2381"/>
          <w:tab w:val="clear" w:pos="2948"/>
          <w:tab w:val="clear" w:pos="3515"/>
          <w:tab w:val="clear" w:pos="4082"/>
          <w:tab w:val="left" w:pos="624"/>
          <w:tab w:val="left" w:pos="1890"/>
          <w:tab w:val="left" w:pos="2430"/>
        </w:tabs>
        <w:ind w:firstLine="624"/>
        <w:rPr>
          <w:rFonts w:ascii="Times New Roman" w:hAnsi="Times New Roman" w:cs="Times New Roman"/>
          <w:iCs/>
          <w:sz w:val="20"/>
          <w:szCs w:val="20"/>
          <w:lang w:val="en-GB"/>
        </w:rPr>
      </w:pPr>
      <w:r w:rsidRPr="00965F70">
        <w:rPr>
          <w:rFonts w:ascii="Times New Roman" w:hAnsi="Times New Roman" w:cs="Times New Roman"/>
          <w:i/>
          <w:iCs/>
          <w:sz w:val="20"/>
          <w:szCs w:val="20"/>
          <w:lang w:val="en-GB"/>
        </w:rPr>
        <w:t xml:space="preserve">Also </w:t>
      </w:r>
      <w:r w:rsidRPr="00965F70">
        <w:rPr>
          <w:rFonts w:ascii="Times New Roman" w:hAnsi="Times New Roman" w:cs="Times New Roman"/>
          <w:sz w:val="20"/>
          <w:szCs w:val="20"/>
          <w:lang w:val="en-GB"/>
        </w:rPr>
        <w:t>requests</w:t>
      </w:r>
      <w:r w:rsidRPr="00965F70">
        <w:rPr>
          <w:rFonts w:ascii="Times New Roman" w:hAnsi="Times New Roman" w:cs="Times New Roman"/>
          <w:i/>
          <w:iCs/>
          <w:sz w:val="20"/>
          <w:szCs w:val="20"/>
          <w:lang w:val="en-GB"/>
        </w:rPr>
        <w:t xml:space="preserve"> </w:t>
      </w:r>
      <w:r w:rsidRPr="00965F70">
        <w:rPr>
          <w:rFonts w:ascii="Times New Roman" w:hAnsi="Times New Roman" w:cs="Times New Roman"/>
          <w:iCs/>
          <w:sz w:val="20"/>
          <w:szCs w:val="20"/>
          <w:lang w:val="en-GB"/>
        </w:rPr>
        <w:t xml:space="preserve">the Secretariat to report on the </w:t>
      </w:r>
      <w:r w:rsidRPr="00965F70">
        <w:rPr>
          <w:rFonts w:ascii="Times New Roman" w:hAnsi="Times New Roman" w:cs="Times New Roman"/>
          <w:color w:val="000000"/>
          <w:sz w:val="20"/>
          <w:szCs w:val="20"/>
          <w:lang w:val="en-GB"/>
        </w:rPr>
        <w:t>implementation</w:t>
      </w:r>
      <w:r w:rsidRPr="00965F70">
        <w:rPr>
          <w:rFonts w:ascii="Times New Roman" w:hAnsi="Times New Roman" w:cs="Times New Roman"/>
          <w:iCs/>
          <w:sz w:val="20"/>
          <w:szCs w:val="20"/>
          <w:lang w:val="en-GB"/>
        </w:rPr>
        <w:t xml:space="preserve"> of the present decision to the Conference of the Parties at its next meeting.</w:t>
      </w:r>
    </w:p>
    <w:p w:rsidR="00C2226D" w:rsidRPr="00965F70" w:rsidRDefault="00C2226D">
      <w:pPr>
        <w:rPr>
          <w:sz w:val="20"/>
        </w:rPr>
      </w:pPr>
    </w:p>
    <w:p w:rsidR="00965F70" w:rsidRPr="00965F70" w:rsidRDefault="00965F70">
      <w:pPr>
        <w:rPr>
          <w:sz w:val="20"/>
        </w:rPr>
      </w:pPr>
    </w:p>
    <w:sectPr w:rsidR="00965F70" w:rsidRPr="00965F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7F77" w:rsidRDefault="009F7F77" w:rsidP="00A23413">
      <w:r>
        <w:separator/>
      </w:r>
    </w:p>
  </w:endnote>
  <w:endnote w:type="continuationSeparator" w:id="0">
    <w:p w:rsidR="009F7F77" w:rsidRDefault="009F7F77" w:rsidP="00A23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7F77" w:rsidRDefault="009F7F77" w:rsidP="00A23413">
      <w:r>
        <w:separator/>
      </w:r>
    </w:p>
  </w:footnote>
  <w:footnote w:type="continuationSeparator" w:id="0">
    <w:p w:rsidR="009F7F77" w:rsidRDefault="009F7F77" w:rsidP="00A23413">
      <w:r>
        <w:continuationSeparator/>
      </w:r>
    </w:p>
  </w:footnote>
  <w:footnote w:id="1">
    <w:p w:rsidR="00A23413" w:rsidRPr="00197687" w:rsidRDefault="00A23413" w:rsidP="00A23413">
      <w:pPr>
        <w:pStyle w:val="FootnoteText"/>
        <w:tabs>
          <w:tab w:val="left" w:pos="624"/>
        </w:tabs>
        <w:rPr>
          <w:szCs w:val="18"/>
          <w:lang w:val="en-US"/>
        </w:rPr>
      </w:pPr>
      <w:r w:rsidRPr="00197687">
        <w:rPr>
          <w:rStyle w:val="FootnoteReference"/>
          <w:rFonts w:eastAsiaTheme="majorEastAsia"/>
        </w:rPr>
        <w:footnoteRef/>
      </w:r>
      <w:r w:rsidRPr="00197687">
        <w:rPr>
          <w:szCs w:val="18"/>
          <w:lang w:val="en-US"/>
        </w:rPr>
        <w:t xml:space="preserve"> UNEP/CHW.13/INF/38-UNEP/FAO/RC/COP.8/INF/27-UNEP/POPS/COP.8/INF/44.</w:t>
      </w:r>
    </w:p>
  </w:footnote>
  <w:footnote w:id="2">
    <w:p w:rsidR="00A23413" w:rsidRPr="00197687" w:rsidRDefault="00A23413" w:rsidP="00A23413">
      <w:pPr>
        <w:pStyle w:val="FootnoteText"/>
        <w:tabs>
          <w:tab w:val="left" w:pos="624"/>
        </w:tabs>
        <w:rPr>
          <w:szCs w:val="18"/>
          <w:lang w:val="en-US"/>
        </w:rPr>
      </w:pPr>
      <w:r w:rsidRPr="00197687">
        <w:rPr>
          <w:rStyle w:val="FootnoteReference"/>
          <w:rFonts w:eastAsiaTheme="majorEastAsia"/>
        </w:rPr>
        <w:footnoteRef/>
      </w:r>
      <w:r w:rsidRPr="00197687">
        <w:rPr>
          <w:szCs w:val="18"/>
          <w:lang w:val="en-US"/>
        </w:rPr>
        <w:t xml:space="preserve"> UNEP/CHW.13/INF/39-UNEP/FAO/RC/COP.8/INF/28-UNEP/POPS/COP.8/INF/45.</w:t>
      </w:r>
    </w:p>
  </w:footnote>
  <w:footnote w:id="3">
    <w:p w:rsidR="00A23413" w:rsidRPr="00197687" w:rsidRDefault="00A23413" w:rsidP="00A23413">
      <w:pPr>
        <w:pStyle w:val="FootnoteText"/>
        <w:tabs>
          <w:tab w:val="left" w:pos="624"/>
        </w:tabs>
        <w:rPr>
          <w:szCs w:val="18"/>
          <w:lang w:val="en-US"/>
        </w:rPr>
      </w:pPr>
      <w:r w:rsidRPr="00197687">
        <w:rPr>
          <w:rStyle w:val="FootnoteReference"/>
          <w:rFonts w:eastAsiaTheme="majorEastAsia"/>
        </w:rPr>
        <w:footnoteRef/>
      </w:r>
      <w:r w:rsidRPr="00197687">
        <w:rPr>
          <w:szCs w:val="18"/>
          <w:lang w:val="en-US"/>
        </w:rPr>
        <w:t xml:space="preserve"> UNEP/CHW.13/INF/54-UNEP/FAO/RC/COP.8/INF/42-UNEP/POPS/COP.8/INF/58.</w:t>
      </w:r>
    </w:p>
  </w:footnote>
  <w:footnote w:id="4">
    <w:p w:rsidR="00A23413" w:rsidRPr="00197687" w:rsidRDefault="00A23413" w:rsidP="00A23413">
      <w:pPr>
        <w:pStyle w:val="FootnoteText"/>
        <w:rPr>
          <w:szCs w:val="18"/>
          <w:lang w:val="en-US"/>
        </w:rPr>
      </w:pPr>
      <w:r w:rsidRPr="00197687">
        <w:rPr>
          <w:rStyle w:val="FootnoteReference"/>
          <w:rFonts w:eastAsiaTheme="majorEastAsia"/>
        </w:rPr>
        <w:footnoteRef/>
      </w:r>
      <w:r w:rsidRPr="00197687">
        <w:rPr>
          <w:szCs w:val="18"/>
          <w:lang w:val="en-US"/>
        </w:rPr>
        <w:t xml:space="preserve"> </w:t>
      </w:r>
      <w:proofErr w:type="gramStart"/>
      <w:r w:rsidRPr="00197687">
        <w:rPr>
          <w:szCs w:val="18"/>
          <w:lang w:val="en-US"/>
        </w:rPr>
        <w:t>In accordance with the decisions of the United Nations Statistical Commission.</w:t>
      </w:r>
      <w:proofErr w:type="gramEnd"/>
    </w:p>
  </w:footnote>
  <w:footnote w:id="5">
    <w:p w:rsidR="00A23413" w:rsidRPr="00C41CD2" w:rsidRDefault="00A23413" w:rsidP="00A23413">
      <w:pPr>
        <w:pStyle w:val="FootnoteText"/>
        <w:tabs>
          <w:tab w:val="left" w:pos="624"/>
        </w:tabs>
        <w:rPr>
          <w:lang w:val="en-US"/>
        </w:rPr>
      </w:pPr>
      <w:r w:rsidRPr="001320E8">
        <w:rPr>
          <w:rStyle w:val="FootnoteReference"/>
          <w:rFonts w:eastAsiaTheme="majorEastAsia"/>
        </w:rPr>
        <w:footnoteRef/>
      </w:r>
      <w:r w:rsidRPr="00C41CD2">
        <w:rPr>
          <w:lang w:val="en-US"/>
        </w:rPr>
        <w:t xml:space="preserve"> UNEP/CHW.13/INF/38-UNEP/FAO/RC/COP.8/INF/27-UNEP/POPS/COP.8/INF/44.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113A7"/>
    <w:multiLevelType w:val="multilevel"/>
    <w:tmpl w:val="48241D10"/>
    <w:lvl w:ilvl="0">
      <w:start w:val="1"/>
      <w:numFmt w:val="decimal"/>
      <w:lvlText w:val="%1."/>
      <w:lvlJc w:val="left"/>
      <w:pPr>
        <w:tabs>
          <w:tab w:val="num" w:pos="567"/>
        </w:tabs>
        <w:ind w:left="1247" w:firstLine="0"/>
      </w:pPr>
      <w:rPr>
        <w:rFonts w:hint="default"/>
      </w:rPr>
    </w:lvl>
    <w:lvl w:ilvl="1">
      <w:start w:val="1"/>
      <w:numFmt w:val="lowerLetter"/>
      <w:lvlText w:val="(%2)"/>
      <w:lvlJc w:val="left"/>
      <w:pPr>
        <w:tabs>
          <w:tab w:val="num" w:pos="567"/>
        </w:tabs>
        <w:ind w:left="1247" w:firstLine="567"/>
      </w:pPr>
      <w:rPr>
        <w:rFonts w:hint="default"/>
      </w:rPr>
    </w:lvl>
    <w:lvl w:ilvl="2">
      <w:start w:val="1"/>
      <w:numFmt w:val="lowerRoman"/>
      <w:lvlText w:val="(%3)"/>
      <w:lvlJc w:val="left"/>
      <w:pPr>
        <w:tabs>
          <w:tab w:val="num" w:pos="567"/>
        </w:tabs>
        <w:ind w:left="2948" w:hanging="567"/>
      </w:pPr>
      <w:rPr>
        <w:rFonts w:hint="default"/>
      </w:rPr>
    </w:lvl>
    <w:lvl w:ilvl="3">
      <w:start w:val="1"/>
      <w:numFmt w:val="lowerLetter"/>
      <w:lvlText w:val="%4."/>
      <w:lvlJc w:val="left"/>
      <w:pPr>
        <w:tabs>
          <w:tab w:val="num" w:pos="567"/>
        </w:tabs>
        <w:ind w:left="3515" w:hanging="567"/>
      </w:pPr>
      <w:rPr>
        <w:rFonts w:hint="default"/>
      </w:rPr>
    </w:lvl>
    <w:lvl w:ilvl="4">
      <w:start w:val="1"/>
      <w:numFmt w:val="lowerLetter"/>
      <w:lvlText w:val="%5."/>
      <w:lvlJc w:val="left"/>
      <w:pPr>
        <w:tabs>
          <w:tab w:val="num" w:pos="6548"/>
        </w:tabs>
        <w:ind w:left="6548" w:hanging="360"/>
      </w:pPr>
      <w:rPr>
        <w:rFonts w:hint="default"/>
      </w:rPr>
    </w:lvl>
    <w:lvl w:ilvl="5">
      <w:start w:val="1"/>
      <w:numFmt w:val="lowerRoman"/>
      <w:lvlText w:val="%6."/>
      <w:lvlJc w:val="right"/>
      <w:pPr>
        <w:tabs>
          <w:tab w:val="num" w:pos="7268"/>
        </w:tabs>
        <w:ind w:left="7268" w:hanging="180"/>
      </w:pPr>
      <w:rPr>
        <w:rFonts w:hint="default"/>
      </w:rPr>
    </w:lvl>
    <w:lvl w:ilvl="6">
      <w:start w:val="1"/>
      <w:numFmt w:val="decimal"/>
      <w:lvlText w:val="%7."/>
      <w:lvlJc w:val="left"/>
      <w:pPr>
        <w:tabs>
          <w:tab w:val="num" w:pos="7988"/>
        </w:tabs>
        <w:ind w:left="7988" w:hanging="360"/>
      </w:pPr>
      <w:rPr>
        <w:rFonts w:hint="default"/>
      </w:rPr>
    </w:lvl>
    <w:lvl w:ilvl="7">
      <w:start w:val="1"/>
      <w:numFmt w:val="lowerLetter"/>
      <w:lvlText w:val="%8."/>
      <w:lvlJc w:val="left"/>
      <w:pPr>
        <w:tabs>
          <w:tab w:val="num" w:pos="8708"/>
        </w:tabs>
        <w:ind w:left="8708" w:hanging="360"/>
      </w:pPr>
      <w:rPr>
        <w:rFonts w:hint="default"/>
      </w:rPr>
    </w:lvl>
    <w:lvl w:ilvl="8">
      <w:start w:val="1"/>
      <w:numFmt w:val="lowerRoman"/>
      <w:lvlText w:val="%9."/>
      <w:lvlJc w:val="right"/>
      <w:pPr>
        <w:tabs>
          <w:tab w:val="num" w:pos="9428"/>
        </w:tabs>
        <w:ind w:left="9428" w:hanging="180"/>
      </w:pPr>
      <w:rPr>
        <w:rFonts w:hint="default"/>
      </w:rPr>
    </w:lvl>
  </w:abstractNum>
  <w:abstractNum w:abstractNumId="1">
    <w:nsid w:val="52A66A9D"/>
    <w:multiLevelType w:val="multilevel"/>
    <w:tmpl w:val="9DFC749A"/>
    <w:styleLink w:val="Normallist"/>
    <w:lvl w:ilvl="0">
      <w:start w:val="1"/>
      <w:numFmt w:val="decimal"/>
      <w:pStyle w:val="Normalnumber"/>
      <w:lvlText w:val="%1."/>
      <w:lvlJc w:val="left"/>
      <w:pPr>
        <w:tabs>
          <w:tab w:val="num" w:pos="1134"/>
        </w:tabs>
        <w:ind w:left="1247" w:firstLine="0"/>
      </w:pPr>
      <w:rPr>
        <w:rFonts w:hint="default"/>
      </w:rPr>
    </w:lvl>
    <w:lvl w:ilvl="1">
      <w:start w:val="1"/>
      <w:numFmt w:val="lowerLetter"/>
      <w:lvlText w:val="(%2)"/>
      <w:lvlJc w:val="left"/>
      <w:pPr>
        <w:tabs>
          <w:tab w:val="num" w:pos="1134"/>
        </w:tabs>
        <w:ind w:left="1247" w:firstLine="567"/>
      </w:pPr>
      <w:rPr>
        <w:rFonts w:hint="default"/>
      </w:rPr>
    </w:lvl>
    <w:lvl w:ilvl="2">
      <w:start w:val="1"/>
      <w:numFmt w:val="lowerRoman"/>
      <w:lvlText w:val="(%3)"/>
      <w:lvlJc w:val="left"/>
      <w:pPr>
        <w:tabs>
          <w:tab w:val="num" w:pos="1134"/>
        </w:tabs>
        <w:ind w:left="2948" w:hanging="567"/>
      </w:pPr>
      <w:rPr>
        <w:rFonts w:hint="default"/>
      </w:rPr>
    </w:lvl>
    <w:lvl w:ilvl="3">
      <w:start w:val="1"/>
      <w:numFmt w:val="lowerLetter"/>
      <w:lvlText w:val="%4."/>
      <w:lvlJc w:val="left"/>
      <w:pPr>
        <w:tabs>
          <w:tab w:val="num" w:pos="1134"/>
        </w:tabs>
        <w:ind w:left="3515" w:hanging="567"/>
      </w:pPr>
      <w:rPr>
        <w:rFonts w:hint="default"/>
      </w:rPr>
    </w:lvl>
    <w:lvl w:ilvl="4">
      <w:start w:val="1"/>
      <w:numFmt w:val="lowerRoman"/>
      <w:lvlText w:val="%5."/>
      <w:lvlJc w:val="left"/>
      <w:pPr>
        <w:tabs>
          <w:tab w:val="num" w:pos="1134"/>
        </w:tabs>
        <w:ind w:left="4082" w:hanging="567"/>
      </w:pPr>
      <w:rPr>
        <w:rFonts w:hint="default"/>
      </w:rPr>
    </w:lvl>
    <w:lvl w:ilvl="5">
      <w:start w:val="1"/>
      <w:numFmt w:val="lowerRoman"/>
      <w:lvlText w:val="%6."/>
      <w:lvlJc w:val="right"/>
      <w:pPr>
        <w:tabs>
          <w:tab w:val="num" w:pos="7835"/>
        </w:tabs>
        <w:ind w:left="7835" w:hanging="180"/>
      </w:pPr>
      <w:rPr>
        <w:rFonts w:hint="default"/>
      </w:rPr>
    </w:lvl>
    <w:lvl w:ilvl="6">
      <w:start w:val="1"/>
      <w:numFmt w:val="decimal"/>
      <w:lvlText w:val="%7."/>
      <w:lvlJc w:val="left"/>
      <w:pPr>
        <w:tabs>
          <w:tab w:val="num" w:pos="8555"/>
        </w:tabs>
        <w:ind w:left="8555" w:hanging="360"/>
      </w:pPr>
      <w:rPr>
        <w:rFonts w:hint="default"/>
      </w:rPr>
    </w:lvl>
    <w:lvl w:ilvl="7">
      <w:start w:val="1"/>
      <w:numFmt w:val="lowerLetter"/>
      <w:lvlText w:val="%8."/>
      <w:lvlJc w:val="left"/>
      <w:pPr>
        <w:tabs>
          <w:tab w:val="num" w:pos="9275"/>
        </w:tabs>
        <w:ind w:left="9275" w:hanging="360"/>
      </w:pPr>
      <w:rPr>
        <w:rFonts w:hint="default"/>
      </w:rPr>
    </w:lvl>
    <w:lvl w:ilvl="8">
      <w:start w:val="1"/>
      <w:numFmt w:val="lowerRoman"/>
      <w:lvlText w:val="%9."/>
      <w:lvlJc w:val="right"/>
      <w:pPr>
        <w:tabs>
          <w:tab w:val="num" w:pos="9995"/>
        </w:tabs>
        <w:ind w:left="9995" w:hanging="180"/>
      </w:pPr>
      <w:rPr>
        <w:rFonts w:hint="default"/>
      </w:rPr>
    </w:lvl>
  </w:abstractNum>
  <w:num w:numId="1">
    <w:abstractNumId w:val="1"/>
  </w:num>
  <w:num w:numId="2">
    <w:abstractNumId w:val="0"/>
    <w:lvlOverride w:ilvl="0">
      <w:lvl w:ilvl="0">
        <w:start w:val="1"/>
        <w:numFmt w:val="decimal"/>
        <w:lvlText w:val="%1."/>
        <w:lvlJc w:val="left"/>
        <w:pPr>
          <w:tabs>
            <w:tab w:val="num" w:pos="567"/>
          </w:tabs>
          <w:ind w:left="1247" w:firstLine="0"/>
        </w:pPr>
      </w:lvl>
    </w:lvlOverride>
    <w:lvlOverride w:ilvl="1">
      <w:lvl w:ilvl="1">
        <w:start w:val="1"/>
        <w:numFmt w:val="lowerLetter"/>
        <w:lvlText w:val="(%2)"/>
        <w:lvlJc w:val="left"/>
        <w:pPr>
          <w:tabs>
            <w:tab w:val="num" w:pos="567"/>
          </w:tabs>
          <w:ind w:left="1247" w:firstLine="567"/>
        </w:pPr>
      </w:lvl>
    </w:lvlOverride>
    <w:lvlOverride w:ilvl="2">
      <w:lvl w:ilvl="2">
        <w:start w:val="1"/>
        <w:numFmt w:val="lowerRoman"/>
        <w:lvlText w:val="(%3)"/>
        <w:lvlJc w:val="left"/>
        <w:pPr>
          <w:tabs>
            <w:tab w:val="num" w:pos="567"/>
          </w:tabs>
          <w:ind w:left="2948" w:hanging="567"/>
        </w:pPr>
      </w:lvl>
    </w:lvlOverride>
    <w:lvlOverride w:ilvl="3">
      <w:lvl w:ilvl="3">
        <w:start w:val="1"/>
        <w:numFmt w:val="lowerLetter"/>
        <w:lvlText w:val="%4."/>
        <w:lvlJc w:val="left"/>
        <w:pPr>
          <w:tabs>
            <w:tab w:val="num" w:pos="567"/>
          </w:tabs>
          <w:ind w:left="3515" w:hanging="567"/>
        </w:pPr>
      </w:lvl>
    </w:lvlOverride>
    <w:lvlOverride w:ilvl="4">
      <w:lvl w:ilvl="4">
        <w:start w:val="1"/>
        <w:numFmt w:val="lowerLetter"/>
        <w:lvlText w:val="%5."/>
        <w:lvlJc w:val="left"/>
        <w:pPr>
          <w:tabs>
            <w:tab w:val="num" w:pos="6548"/>
          </w:tabs>
          <w:ind w:left="6548" w:hanging="360"/>
        </w:pPr>
      </w:lvl>
    </w:lvlOverride>
    <w:lvlOverride w:ilvl="5">
      <w:lvl w:ilvl="5">
        <w:start w:val="1"/>
        <w:numFmt w:val="lowerRoman"/>
        <w:lvlText w:val="%6."/>
        <w:lvlJc w:val="right"/>
        <w:pPr>
          <w:tabs>
            <w:tab w:val="num" w:pos="7268"/>
          </w:tabs>
          <w:ind w:left="7268" w:hanging="180"/>
        </w:pPr>
      </w:lvl>
    </w:lvlOverride>
    <w:lvlOverride w:ilvl="6">
      <w:lvl w:ilvl="6">
        <w:start w:val="1"/>
        <w:numFmt w:val="decimal"/>
        <w:lvlText w:val="%7."/>
        <w:lvlJc w:val="left"/>
        <w:pPr>
          <w:tabs>
            <w:tab w:val="num" w:pos="7988"/>
          </w:tabs>
          <w:ind w:left="7988" w:hanging="360"/>
        </w:pPr>
      </w:lvl>
    </w:lvlOverride>
    <w:lvlOverride w:ilvl="7">
      <w:lvl w:ilvl="7">
        <w:start w:val="1"/>
        <w:numFmt w:val="lowerLetter"/>
        <w:lvlText w:val="%8."/>
        <w:lvlJc w:val="left"/>
        <w:pPr>
          <w:tabs>
            <w:tab w:val="num" w:pos="8708"/>
          </w:tabs>
          <w:ind w:left="8708" w:hanging="360"/>
        </w:pPr>
      </w:lvl>
    </w:lvlOverride>
    <w:lvlOverride w:ilvl="8">
      <w:lvl w:ilvl="8">
        <w:start w:val="1"/>
        <w:numFmt w:val="lowerRoman"/>
        <w:lvlText w:val="%9."/>
        <w:lvlJc w:val="right"/>
        <w:pPr>
          <w:tabs>
            <w:tab w:val="num" w:pos="9428"/>
          </w:tabs>
          <w:ind w:left="9428" w:hanging="180"/>
        </w:pPr>
      </w:lvl>
    </w:lvlOverride>
  </w:num>
  <w:num w:numId="3">
    <w:abstractNumId w:val="0"/>
    <w:lvlOverride w:ilvl="0">
      <w:startOverride w:val="1"/>
      <w:lvl w:ilvl="0">
        <w:start w:val="1"/>
        <w:numFmt w:val="decimal"/>
        <w:lvlText w:val="%1."/>
        <w:lvlJc w:val="left"/>
        <w:pPr>
          <w:tabs>
            <w:tab w:val="num" w:pos="567"/>
          </w:tabs>
          <w:ind w:left="1247" w:firstLine="0"/>
        </w:pPr>
      </w:lvl>
    </w:lvlOverride>
    <w:lvlOverride w:ilvl="1">
      <w:startOverride w:val="1"/>
      <w:lvl w:ilvl="1">
        <w:start w:val="1"/>
        <w:numFmt w:val="lowerLetter"/>
        <w:lvlText w:val="(%2)"/>
        <w:lvlJc w:val="left"/>
        <w:pPr>
          <w:tabs>
            <w:tab w:val="num" w:pos="567"/>
          </w:tabs>
          <w:ind w:left="1247" w:firstLine="567"/>
        </w:pPr>
      </w:lvl>
    </w:lvlOverride>
    <w:lvlOverride w:ilvl="2">
      <w:startOverride w:val="1"/>
      <w:lvl w:ilvl="2">
        <w:start w:val="1"/>
        <w:numFmt w:val="lowerRoman"/>
        <w:lvlText w:val="(%3)"/>
        <w:lvlJc w:val="left"/>
        <w:pPr>
          <w:tabs>
            <w:tab w:val="num" w:pos="567"/>
          </w:tabs>
          <w:ind w:left="2948" w:hanging="567"/>
        </w:pPr>
      </w:lvl>
    </w:lvlOverride>
    <w:lvlOverride w:ilvl="3">
      <w:startOverride w:val="1"/>
      <w:lvl w:ilvl="3">
        <w:start w:val="1"/>
        <w:numFmt w:val="lowerLetter"/>
        <w:lvlText w:val="%4."/>
        <w:lvlJc w:val="left"/>
        <w:pPr>
          <w:tabs>
            <w:tab w:val="num" w:pos="567"/>
          </w:tabs>
          <w:ind w:left="3515" w:hanging="567"/>
        </w:pPr>
      </w:lvl>
    </w:lvlOverride>
    <w:lvlOverride w:ilvl="4">
      <w:startOverride w:val="1"/>
      <w:lvl w:ilvl="4">
        <w:start w:val="1"/>
        <w:numFmt w:val="lowerLetter"/>
        <w:lvlText w:val="%5."/>
        <w:lvlJc w:val="left"/>
        <w:pPr>
          <w:tabs>
            <w:tab w:val="num" w:pos="6548"/>
          </w:tabs>
          <w:ind w:left="6548" w:hanging="360"/>
        </w:pPr>
      </w:lvl>
    </w:lvlOverride>
    <w:lvlOverride w:ilvl="5">
      <w:startOverride w:val="1"/>
      <w:lvl w:ilvl="5">
        <w:start w:val="1"/>
        <w:numFmt w:val="lowerRoman"/>
        <w:lvlText w:val="%6."/>
        <w:lvlJc w:val="right"/>
        <w:pPr>
          <w:tabs>
            <w:tab w:val="num" w:pos="7268"/>
          </w:tabs>
          <w:ind w:left="7268" w:hanging="180"/>
        </w:pPr>
      </w:lvl>
    </w:lvlOverride>
    <w:lvlOverride w:ilvl="6">
      <w:startOverride w:val="1"/>
      <w:lvl w:ilvl="6">
        <w:start w:val="1"/>
        <w:numFmt w:val="decimal"/>
        <w:lvlText w:val="%7."/>
        <w:lvlJc w:val="left"/>
        <w:pPr>
          <w:tabs>
            <w:tab w:val="num" w:pos="7988"/>
          </w:tabs>
          <w:ind w:left="7988" w:hanging="360"/>
        </w:pPr>
      </w:lvl>
    </w:lvlOverride>
    <w:lvlOverride w:ilvl="7">
      <w:startOverride w:val="1"/>
      <w:lvl w:ilvl="7">
        <w:start w:val="1"/>
        <w:numFmt w:val="lowerLetter"/>
        <w:lvlText w:val="%8."/>
        <w:lvlJc w:val="left"/>
        <w:pPr>
          <w:tabs>
            <w:tab w:val="num" w:pos="8708"/>
          </w:tabs>
          <w:ind w:left="8708" w:hanging="360"/>
        </w:pPr>
      </w:lvl>
    </w:lvlOverride>
    <w:lvlOverride w:ilvl="8">
      <w:startOverride w:val="1"/>
      <w:lvl w:ilvl="8">
        <w:start w:val="1"/>
        <w:numFmt w:val="lowerRoman"/>
        <w:lvlText w:val="%9."/>
        <w:lvlJc w:val="right"/>
        <w:pPr>
          <w:tabs>
            <w:tab w:val="num" w:pos="9428"/>
          </w:tabs>
          <w:ind w:left="9428"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413"/>
    <w:rsid w:val="00066A5F"/>
    <w:rsid w:val="00965F70"/>
    <w:rsid w:val="009F7F77"/>
    <w:rsid w:val="00A23413"/>
    <w:rsid w:val="00AD5B1D"/>
    <w:rsid w:val="00C22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413"/>
    <w:pPr>
      <w:spacing w:after="0" w:line="240" w:lineRule="auto"/>
    </w:pPr>
    <w:rPr>
      <w:rFonts w:ascii="Times New Roman" w:eastAsia="Times New Roman" w:hAnsi="Times New Roman" w:cs="Times New Roman"/>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pool">
    <w:name w:val="Normal-pool"/>
    <w:link w:val="Normal-poolChar"/>
    <w:rsid w:val="00A23413"/>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en-GB"/>
    </w:rPr>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
    <w:uiPriority w:val="99"/>
    <w:rsid w:val="00A23413"/>
    <w:rPr>
      <w:rFonts w:ascii="Times New Roman" w:hAnsi="Times New Roman"/>
      <w:color w:val="auto"/>
      <w:sz w:val="20"/>
      <w:szCs w:val="18"/>
      <w:vertAlign w:val="superscript"/>
    </w:rPr>
  </w:style>
  <w:style w:type="paragraph" w:styleId="FootnoteText">
    <w:name w:val="footnote text"/>
    <w:aliases w:val="Geneva 9,Font: Geneva 9,Boston 10,f,FOOTNOTES,fn,single space,Footnote Text Rail EIS,ft,Char,footnote text,Footnotes,Footnote ak,fn cafc,Footnotes Char Char,Footnote Text Char Char,fn Char Char,footnote text Char Char Char Ch,DNV-FT,text,9"/>
    <w:basedOn w:val="Normal"/>
    <w:link w:val="FootnoteTextChar"/>
    <w:rsid w:val="00A23413"/>
    <w:pPr>
      <w:tabs>
        <w:tab w:val="left" w:pos="1247"/>
        <w:tab w:val="left" w:pos="1814"/>
        <w:tab w:val="left" w:pos="2381"/>
        <w:tab w:val="left" w:pos="2948"/>
        <w:tab w:val="left" w:pos="3515"/>
        <w:tab w:val="left" w:pos="4082"/>
      </w:tabs>
      <w:spacing w:before="20" w:after="40"/>
      <w:ind w:left="1247"/>
    </w:pPr>
    <w:rPr>
      <w:sz w:val="18"/>
      <w:lang w:val="fr-FR"/>
    </w:rPr>
  </w:style>
  <w:style w:type="character" w:customStyle="1" w:styleId="FootnoteTextChar">
    <w:name w:val="Footnote Text Char"/>
    <w:aliases w:val="Geneva 9 Char,Font: Geneva 9 Char,Boston 10 Char,f Char,FOOTNOTES Char,fn Char,single space Char,Footnote Text Rail EIS Char,ft Char,Char Char,footnote text Char,Footnotes Char,Footnote ak Char,fn cafc Char,Footnotes Char Char Char"/>
    <w:basedOn w:val="DefaultParagraphFont"/>
    <w:link w:val="FootnoteText"/>
    <w:rsid w:val="00A23413"/>
    <w:rPr>
      <w:rFonts w:ascii="Times New Roman" w:eastAsia="Times New Roman" w:hAnsi="Times New Roman" w:cs="Times New Roman"/>
      <w:sz w:val="18"/>
      <w:szCs w:val="20"/>
      <w:lang w:val="fr-FR"/>
    </w:rPr>
  </w:style>
  <w:style w:type="character" w:customStyle="1" w:styleId="NormalnumberChar">
    <w:name w:val="Normal_number Char"/>
    <w:link w:val="Normalnumber"/>
    <w:locked/>
    <w:rsid w:val="00A23413"/>
    <w:rPr>
      <w:lang w:val="fr-FR"/>
    </w:rPr>
  </w:style>
  <w:style w:type="numbering" w:customStyle="1" w:styleId="Normallist">
    <w:name w:val="Normal_list"/>
    <w:basedOn w:val="NoList"/>
    <w:rsid w:val="00A23413"/>
    <w:pPr>
      <w:numPr>
        <w:numId w:val="1"/>
      </w:numPr>
    </w:pPr>
  </w:style>
  <w:style w:type="paragraph" w:customStyle="1" w:styleId="Normalnumber">
    <w:name w:val="Normal_number"/>
    <w:basedOn w:val="Normal"/>
    <w:link w:val="NormalnumberChar"/>
    <w:rsid w:val="00A23413"/>
    <w:pPr>
      <w:numPr>
        <w:numId w:val="1"/>
      </w:numPr>
      <w:tabs>
        <w:tab w:val="left" w:pos="1247"/>
        <w:tab w:val="left" w:pos="1814"/>
        <w:tab w:val="left" w:pos="2381"/>
        <w:tab w:val="left" w:pos="2948"/>
        <w:tab w:val="left" w:pos="3515"/>
        <w:tab w:val="left" w:pos="4082"/>
      </w:tabs>
      <w:spacing w:after="120"/>
    </w:pPr>
    <w:rPr>
      <w:rFonts w:asciiTheme="minorHAnsi" w:eastAsiaTheme="minorHAnsi" w:hAnsiTheme="minorHAnsi" w:cstheme="minorBidi"/>
      <w:szCs w:val="22"/>
      <w:lang w:val="fr-FR"/>
    </w:rPr>
  </w:style>
  <w:style w:type="character" w:customStyle="1" w:styleId="Normal-poolChar">
    <w:name w:val="Normal-pool Char"/>
    <w:link w:val="Normal-pool"/>
    <w:rsid w:val="00A23413"/>
    <w:rPr>
      <w:rFonts w:ascii="Times New Roman" w:eastAsia="Times New Roman" w:hAnsi="Times New Roman" w:cs="Times New Roman"/>
      <w:sz w:val="20"/>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413"/>
    <w:pPr>
      <w:spacing w:after="0" w:line="240" w:lineRule="auto"/>
    </w:pPr>
    <w:rPr>
      <w:rFonts w:ascii="Times New Roman" w:eastAsia="Times New Roman" w:hAnsi="Times New Roman" w:cs="Times New Roman"/>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pool">
    <w:name w:val="Normal-pool"/>
    <w:link w:val="Normal-poolChar"/>
    <w:rsid w:val="00A23413"/>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en-GB"/>
    </w:rPr>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
    <w:uiPriority w:val="99"/>
    <w:rsid w:val="00A23413"/>
    <w:rPr>
      <w:rFonts w:ascii="Times New Roman" w:hAnsi="Times New Roman"/>
      <w:color w:val="auto"/>
      <w:sz w:val="20"/>
      <w:szCs w:val="18"/>
      <w:vertAlign w:val="superscript"/>
    </w:rPr>
  </w:style>
  <w:style w:type="paragraph" w:styleId="FootnoteText">
    <w:name w:val="footnote text"/>
    <w:aliases w:val="Geneva 9,Font: Geneva 9,Boston 10,f,FOOTNOTES,fn,single space,Footnote Text Rail EIS,ft,Char,footnote text,Footnotes,Footnote ak,fn cafc,Footnotes Char Char,Footnote Text Char Char,fn Char Char,footnote text Char Char Char Ch,DNV-FT,text,9"/>
    <w:basedOn w:val="Normal"/>
    <w:link w:val="FootnoteTextChar"/>
    <w:rsid w:val="00A23413"/>
    <w:pPr>
      <w:tabs>
        <w:tab w:val="left" w:pos="1247"/>
        <w:tab w:val="left" w:pos="1814"/>
        <w:tab w:val="left" w:pos="2381"/>
        <w:tab w:val="left" w:pos="2948"/>
        <w:tab w:val="left" w:pos="3515"/>
        <w:tab w:val="left" w:pos="4082"/>
      </w:tabs>
      <w:spacing w:before="20" w:after="40"/>
      <w:ind w:left="1247"/>
    </w:pPr>
    <w:rPr>
      <w:sz w:val="18"/>
      <w:lang w:val="fr-FR"/>
    </w:rPr>
  </w:style>
  <w:style w:type="character" w:customStyle="1" w:styleId="FootnoteTextChar">
    <w:name w:val="Footnote Text Char"/>
    <w:aliases w:val="Geneva 9 Char,Font: Geneva 9 Char,Boston 10 Char,f Char,FOOTNOTES Char,fn Char,single space Char,Footnote Text Rail EIS Char,ft Char,Char Char,footnote text Char,Footnotes Char,Footnote ak Char,fn cafc Char,Footnotes Char Char Char"/>
    <w:basedOn w:val="DefaultParagraphFont"/>
    <w:link w:val="FootnoteText"/>
    <w:rsid w:val="00A23413"/>
    <w:rPr>
      <w:rFonts w:ascii="Times New Roman" w:eastAsia="Times New Roman" w:hAnsi="Times New Roman" w:cs="Times New Roman"/>
      <w:sz w:val="18"/>
      <w:szCs w:val="20"/>
      <w:lang w:val="fr-FR"/>
    </w:rPr>
  </w:style>
  <w:style w:type="character" w:customStyle="1" w:styleId="NormalnumberChar">
    <w:name w:val="Normal_number Char"/>
    <w:link w:val="Normalnumber"/>
    <w:locked/>
    <w:rsid w:val="00A23413"/>
    <w:rPr>
      <w:lang w:val="fr-FR"/>
    </w:rPr>
  </w:style>
  <w:style w:type="numbering" w:customStyle="1" w:styleId="Normallist">
    <w:name w:val="Normal_list"/>
    <w:basedOn w:val="NoList"/>
    <w:rsid w:val="00A23413"/>
    <w:pPr>
      <w:numPr>
        <w:numId w:val="1"/>
      </w:numPr>
    </w:pPr>
  </w:style>
  <w:style w:type="paragraph" w:customStyle="1" w:styleId="Normalnumber">
    <w:name w:val="Normal_number"/>
    <w:basedOn w:val="Normal"/>
    <w:link w:val="NormalnumberChar"/>
    <w:rsid w:val="00A23413"/>
    <w:pPr>
      <w:numPr>
        <w:numId w:val="1"/>
      </w:numPr>
      <w:tabs>
        <w:tab w:val="left" w:pos="1247"/>
        <w:tab w:val="left" w:pos="1814"/>
        <w:tab w:val="left" w:pos="2381"/>
        <w:tab w:val="left" w:pos="2948"/>
        <w:tab w:val="left" w:pos="3515"/>
        <w:tab w:val="left" w:pos="4082"/>
      </w:tabs>
      <w:spacing w:after="120"/>
    </w:pPr>
    <w:rPr>
      <w:rFonts w:asciiTheme="minorHAnsi" w:eastAsiaTheme="minorHAnsi" w:hAnsiTheme="minorHAnsi" w:cstheme="minorBidi"/>
      <w:szCs w:val="22"/>
      <w:lang w:val="fr-FR"/>
    </w:rPr>
  </w:style>
  <w:style w:type="character" w:customStyle="1" w:styleId="Normal-poolChar">
    <w:name w:val="Normal-pool Char"/>
    <w:link w:val="Normal-pool"/>
    <w:rsid w:val="00A23413"/>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UNEP/BRS</Company>
  <LinksUpToDate>false</LinksUpToDate>
  <CharactersWithSpaces>4213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Khanh ngo</dc:creator>
  <cp:lastModifiedBy>Khanh ngo</cp:lastModifiedBy>
  <cp:revision>3</cp:revision>
  <cp:lastPrinted>2018-02-01T10:22:00Z</cp:lastPrinted>
  <dcterms:created xsi:type="dcterms:W3CDTF">2018-01-29T12:54:00Z</dcterms:created>
  <dcterms:modified xsi:type="dcterms:W3CDTF">2018-02-01T10:23:00Z</dcterms:modified>
</cp:coreProperties>
</file>