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46" w:rsidRPr="0054694E" w:rsidRDefault="000A4A46" w:rsidP="000A4A46">
      <w:pPr>
        <w:pStyle w:val="BBTitle"/>
      </w:pPr>
      <w:r w:rsidRPr="0054694E">
        <w:t>BC-13/8:</w:t>
      </w:r>
      <w:r>
        <w:t xml:space="preserve"> </w:t>
      </w:r>
      <w:r w:rsidRPr="0054694E">
        <w:t>National reporting</w:t>
      </w:r>
    </w:p>
    <w:p w:rsidR="000A4A46" w:rsidRPr="005D6D70" w:rsidRDefault="000A4A46" w:rsidP="000A4A46">
      <w:pPr>
        <w:tabs>
          <w:tab w:val="clear" w:pos="1247"/>
          <w:tab w:val="clear" w:pos="1814"/>
          <w:tab w:val="clear" w:pos="2381"/>
          <w:tab w:val="clear" w:pos="2948"/>
          <w:tab w:val="clear" w:pos="3515"/>
        </w:tabs>
        <w:spacing w:after="120"/>
        <w:ind w:left="1247" w:firstLine="624"/>
        <w:rPr>
          <w:i/>
        </w:rPr>
      </w:pPr>
      <w:r w:rsidRPr="005D6D70">
        <w:rPr>
          <w:i/>
        </w:rPr>
        <w:t>The Conference of the Parties,</w:t>
      </w:r>
    </w:p>
    <w:p w:rsidR="000A4A46" w:rsidRPr="005D6D70" w:rsidRDefault="000A4A46" w:rsidP="000A4A46">
      <w:pPr>
        <w:tabs>
          <w:tab w:val="clear" w:pos="1247"/>
          <w:tab w:val="clear" w:pos="1814"/>
          <w:tab w:val="clear" w:pos="2381"/>
          <w:tab w:val="clear" w:pos="2948"/>
          <w:tab w:val="clear" w:pos="3515"/>
        </w:tabs>
        <w:spacing w:after="120"/>
        <w:ind w:left="1247" w:firstLine="624"/>
        <w:rPr>
          <w:i/>
          <w:iCs/>
        </w:rPr>
      </w:pPr>
      <w:r w:rsidRPr="005D6D70">
        <w:rPr>
          <w:i/>
          <w:iCs/>
        </w:rPr>
        <w:t xml:space="preserve">Mindful </w:t>
      </w:r>
      <w:r w:rsidRPr="005D6D70">
        <w:rPr>
          <w:iCs/>
        </w:rPr>
        <w:t xml:space="preserve">of decision BC-13/9 </w:t>
      </w:r>
      <w:r w:rsidRPr="0010188A">
        <w:rPr>
          <w:iCs/>
        </w:rPr>
        <w:t>on the</w:t>
      </w:r>
      <w:r w:rsidRPr="005D6D70">
        <w:rPr>
          <w:iCs/>
        </w:rPr>
        <w:t xml:space="preserve"> Committee Administering the Mechanism for Promoting Implementation and Compliance, whereby the Conference of the Parties adopted revisions to questions 1a and 3 of the revised format for national reporting under the Basel Convention,</w:t>
      </w:r>
      <w:r w:rsidRPr="006F0C39">
        <w:rPr>
          <w:rStyle w:val="FootnoteReference"/>
        </w:rPr>
        <w:footnoteReference w:id="1"/>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pPr>
      <w:r w:rsidRPr="00756220">
        <w:rPr>
          <w:i/>
          <w:iCs/>
          <w:color w:val="000000"/>
        </w:rPr>
        <w:t>Expresses</w:t>
      </w:r>
      <w:r w:rsidRPr="005D6D70">
        <w:rPr>
          <w:i/>
        </w:rPr>
        <w:t xml:space="preserve"> its appreciation</w:t>
      </w:r>
      <w:r w:rsidRPr="005D6D70">
        <w:t xml:space="preserve"> to the small </w:t>
      </w:r>
      <w:proofErr w:type="spellStart"/>
      <w:r w:rsidRPr="005D6D70">
        <w:t>intersessional</w:t>
      </w:r>
      <w:proofErr w:type="spellEnd"/>
      <w:r w:rsidRPr="005D6D70">
        <w:t xml:space="preserve"> working group on national reporting and Germany as lead country for their work;</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iCs/>
          <w:color w:val="000000"/>
        </w:rPr>
        <w:t xml:space="preserve">Takes note </w:t>
      </w:r>
      <w:r w:rsidRPr="005D6D70">
        <w:rPr>
          <w:iCs/>
          <w:color w:val="000000"/>
        </w:rPr>
        <w:t xml:space="preserve">of: </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rPr>
          <w:iCs/>
          <w:color w:val="000000"/>
        </w:rPr>
        <w:t xml:space="preserve">The </w:t>
      </w:r>
      <w:r w:rsidRPr="005D6D70">
        <w:t xml:space="preserve">manual for completing the format for national reporting under the Basel Convention on the Control of </w:t>
      </w:r>
      <w:proofErr w:type="spellStart"/>
      <w:r w:rsidRPr="005D6D70">
        <w:t>Transboundary</w:t>
      </w:r>
      <w:proofErr w:type="spellEnd"/>
      <w:r w:rsidRPr="005D6D70">
        <w:t xml:space="preserve"> Movements of Hazardous Wastes and Their Disposal</w:t>
      </w:r>
      <w:r w:rsidRPr="005D6D70">
        <w:rPr>
          <w:szCs w:val="18"/>
          <w:vertAlign w:val="superscript"/>
        </w:rPr>
        <w:footnoteReference w:id="2"/>
      </w:r>
      <w:r w:rsidRPr="005D6D70">
        <w:t xml:space="preserve"> and the user manual for the electronic reporting system under the Basel Convention;</w:t>
      </w:r>
      <w:r w:rsidRPr="005D6D70">
        <w:rPr>
          <w:szCs w:val="18"/>
          <w:vertAlign w:val="superscript"/>
        </w:rPr>
        <w:footnoteReference w:id="3"/>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rPr>
          <w:iCs/>
          <w:color w:val="000000"/>
        </w:rPr>
        <w:t xml:space="preserve">The practical guidance on the development of inventories of </w:t>
      </w:r>
      <w:r w:rsidRPr="005D6D70">
        <w:t>used lead</w:t>
      </w:r>
      <w:r w:rsidRPr="005D6D70">
        <w:noBreakHyphen/>
      </w:r>
      <w:proofErr w:type="spellStart"/>
      <w:r w:rsidRPr="005D6D70">
        <w:t>acid</w:t>
      </w:r>
      <w:proofErr w:type="spellEnd"/>
      <w:r w:rsidRPr="005D6D70">
        <w:t xml:space="preserve"> batteries, of electrical and electronic waste and of waste oils;</w:t>
      </w:r>
      <w:r w:rsidRPr="005D6D70">
        <w:rPr>
          <w:szCs w:val="18"/>
          <w:vertAlign w:val="superscript"/>
        </w:rPr>
        <w:footnoteReference w:id="4"/>
      </w:r>
      <w:r w:rsidRPr="005D6D70">
        <w:t xml:space="preserve"> </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pPr>
      <w:r w:rsidRPr="005D6D70">
        <w:rPr>
          <w:i/>
        </w:rPr>
        <w:t>Encourages</w:t>
      </w:r>
      <w:r w:rsidRPr="005D6D70">
        <w:t xml:space="preserve"> Parties to use the manuals referred to in paragraph 2 (a) above;</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pPr>
      <w:r w:rsidRPr="005D6D70">
        <w:rPr>
          <w:i/>
        </w:rPr>
        <w:t>Invites</w:t>
      </w:r>
      <w:r w:rsidRPr="005D6D70">
        <w:t xml:space="preserve"> Parties and others to make use of the practical guidance referred to in paragraph 2 (b) above and to inform the Secretariat of their experience in doing so by 30 March 2018;</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color w:val="000000"/>
        </w:rPr>
        <w:t>Invites</w:t>
      </w:r>
      <w:r w:rsidRPr="005D6D70">
        <w:rPr>
          <w:color w:val="000000"/>
        </w:rPr>
        <w:t xml:space="preserve"> Parties to inform the Secretariat, by 28 February 2018, of the types of wastes for which additional practical guidance on the development of inventories would be useful;</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rPr>
        <w:t>Requests</w:t>
      </w:r>
      <w:r w:rsidRPr="005D6D70">
        <w:t xml:space="preserve"> the </w:t>
      </w:r>
      <w:r w:rsidRPr="005D6D70">
        <w:rPr>
          <w:lang w:eastAsia="de-DE"/>
        </w:rPr>
        <w:t>Open-ended Working Group to consider, at its eleventh meeting</w:t>
      </w:r>
      <w:r w:rsidRPr="005D6D70">
        <w:t xml:space="preserve">, the types of wastes </w:t>
      </w:r>
      <w:r w:rsidRPr="005D6D70">
        <w:rPr>
          <w:color w:val="000000"/>
        </w:rPr>
        <w:t>for which additional practical guidance on the development of inventories</w:t>
      </w:r>
      <w:r w:rsidRPr="005D6D70">
        <w:t xml:space="preserve"> would be useful, as identified by Parties in accordance with paragraph 5 above, and to prepare recommendations thereon for consideration by the Conference of the Parties at its fourteenth meeting;</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color w:val="000000"/>
        </w:rPr>
        <w:t xml:space="preserve">Urges </w:t>
      </w:r>
      <w:r w:rsidRPr="005D6D70">
        <w:rPr>
          <w:color w:val="000000"/>
        </w:rPr>
        <w:t>Parties that have not yet done so to transmit to the Secretariat their completed questionnaires on the transmission of information for the year 2015 and for previous years as soon as possible, using the electronic reporting system of the Basel Convention;</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color w:val="000000"/>
        </w:rPr>
        <w:t>Recognizes</w:t>
      </w:r>
      <w:r w:rsidRPr="005D6D70">
        <w:rPr>
          <w:color w:val="000000"/>
        </w:rPr>
        <w:t xml:space="preserve"> the importance of the information to be submitted by Parties in their national reports on the generation, import, export and disposal of hazardous wastes for</w:t>
      </w:r>
      <w:r w:rsidRPr="005D6D70">
        <w:t xml:space="preserve"> indicators 12.4.1,</w:t>
      </w:r>
      <w:r w:rsidRPr="005D6D70">
        <w:rPr>
          <w:szCs w:val="18"/>
          <w:vertAlign w:val="superscript"/>
        </w:rPr>
        <w:footnoteReference w:id="5"/>
      </w:r>
      <w:r w:rsidRPr="005D6D70">
        <w:t xml:space="preserve"> 12.4.2</w:t>
      </w:r>
      <w:r w:rsidRPr="005D6D70">
        <w:rPr>
          <w:szCs w:val="18"/>
          <w:vertAlign w:val="superscript"/>
        </w:rPr>
        <w:footnoteReference w:id="6"/>
      </w:r>
      <w:r w:rsidRPr="005D6D70">
        <w:t xml:space="preserve"> and 12.5.1</w:t>
      </w:r>
      <w:r w:rsidRPr="005D6D70">
        <w:rPr>
          <w:szCs w:val="18"/>
          <w:vertAlign w:val="superscript"/>
        </w:rPr>
        <w:footnoteReference w:id="7"/>
      </w:r>
      <w:r w:rsidRPr="005D6D70">
        <w:t xml:space="preserve"> for measuring progress towards Sustainable Development Goal 12</w:t>
      </w:r>
      <w:r w:rsidRPr="005D6D70">
        <w:rPr>
          <w:szCs w:val="18"/>
          <w:vertAlign w:val="superscript"/>
        </w:rPr>
        <w:footnoteReference w:id="8"/>
      </w:r>
      <w:r w:rsidRPr="005D6D70">
        <w:t xml:space="preserve"> and encourages Parties to strengthen their efforts to include such information in their national reports;</w:t>
      </w:r>
    </w:p>
    <w:p w:rsidR="000A4A46" w:rsidRPr="005D6D70" w:rsidRDefault="000A4A46" w:rsidP="000A4A46">
      <w:pPr>
        <w:numPr>
          <w:ilvl w:val="0"/>
          <w:numId w:val="1"/>
        </w:numPr>
        <w:tabs>
          <w:tab w:val="clear" w:pos="1247"/>
          <w:tab w:val="clear" w:pos="1814"/>
          <w:tab w:val="clear" w:pos="2381"/>
          <w:tab w:val="clear" w:pos="2948"/>
          <w:tab w:val="clear" w:pos="3215"/>
          <w:tab w:val="clear" w:pos="3515"/>
        </w:tabs>
        <w:spacing w:after="120"/>
        <w:ind w:left="1247" w:firstLine="624"/>
        <w:rPr>
          <w:color w:val="000000"/>
        </w:rPr>
      </w:pPr>
      <w:r w:rsidRPr="005D6D70">
        <w:rPr>
          <w:i/>
          <w:iCs/>
          <w:color w:val="000000"/>
        </w:rPr>
        <w:lastRenderedPageBreak/>
        <w:t xml:space="preserve">Requests </w:t>
      </w:r>
      <w:r w:rsidRPr="005D6D70">
        <w:rPr>
          <w:iCs/>
          <w:color w:val="000000"/>
        </w:rPr>
        <w:t>the Secretariat:</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t xml:space="preserve">To continue to develop the electronic reporting system, taking into account necessary modifications consistent with the revised format for national reporting adopted in decision </w:t>
      </w:r>
      <w:r w:rsidRPr="005D6D70">
        <w:br/>
        <w:t>BC-13/9, on the Committee Administering the Mechanism for Promoting Implementation and Compliance, as well as the manual for completing the format for national reporting referred to in paragraph 2 (a) above</w:t>
      </w:r>
      <w:r w:rsidRPr="005D6D70">
        <w:rPr>
          <w:color w:val="000000"/>
        </w:rPr>
        <w:t xml:space="preserve">, </w:t>
      </w:r>
      <w:r w:rsidRPr="005D6D70">
        <w:t>and to support Parties in using it;</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t xml:space="preserve">To translate into English, </w:t>
      </w:r>
      <w:r w:rsidRPr="005D6D70">
        <w:rPr>
          <w:color w:val="000000"/>
        </w:rPr>
        <w:t>subject to the availability of resources</w:t>
      </w:r>
      <w:r w:rsidRPr="005D6D70">
        <w:t>, any information submitted by Parties in their national reports in the official languages of the United Nations other than English and to incorporate such information into the electronic reporting system;</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t xml:space="preserve">To make available in the six official languages of the United Nations, subject to the availability of resources, the </w:t>
      </w:r>
      <w:r w:rsidRPr="005D6D70">
        <w:rPr>
          <w:iCs/>
          <w:color w:val="000000"/>
        </w:rPr>
        <w:t xml:space="preserve">practical guidance on the development of inventories of </w:t>
      </w:r>
      <w:r w:rsidRPr="005D6D70">
        <w:t>used lead-acid batteries, of electrical and electronic waste and of waste oils referred to in paragraph 2 (b) above to enhance its use by Parties;</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iCs/>
          <w:color w:val="000000"/>
        </w:rPr>
      </w:pPr>
      <w:r w:rsidRPr="005D6D70">
        <w:t>To undertake, subject to the availability of resources, pilot projects to test the p</w:t>
      </w:r>
      <w:r w:rsidRPr="005D6D70">
        <w:rPr>
          <w:iCs/>
          <w:color w:val="000000"/>
        </w:rPr>
        <w:t xml:space="preserve">ractical guidance on the development of inventories of </w:t>
      </w:r>
      <w:r w:rsidRPr="005D6D70">
        <w:t xml:space="preserve">used lead-acid batteries, of electrical and electronic waste and of waste oils referred to in paragraph 2 (b) above and to prepare, on the basis of the outcomes of those projects and comments received </w:t>
      </w:r>
      <w:r w:rsidRPr="005D6D70">
        <w:rPr>
          <w:rFonts w:eastAsia="Calibri"/>
        </w:rPr>
        <w:t>pursuant to paragraph 4 above</w:t>
      </w:r>
      <w:r w:rsidRPr="005D6D70">
        <w:t xml:space="preserve">, revised practical guidance for consideration by the Conference of the Parties at its fourteenth </w:t>
      </w:r>
      <w:r w:rsidRPr="005D6D70">
        <w:rPr>
          <w:iCs/>
          <w:color w:val="000000"/>
        </w:rPr>
        <w:t>meeting;</w:t>
      </w:r>
    </w:p>
    <w:p w:rsidR="000A4A46" w:rsidRPr="005D6D70"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iCs/>
          <w:color w:val="000000"/>
        </w:rPr>
      </w:pPr>
      <w:r w:rsidRPr="005D6D70">
        <w:rPr>
          <w:iCs/>
          <w:color w:val="000000"/>
        </w:rPr>
        <w:t>To continue to provide, subject to the availability of resources, training to developing countries and other countries that are in need of assistance to meet their reporting obligations by organizing training activities in cooperation with the Basel Convention regional and coordinating centres or by other appropriate means;</w:t>
      </w:r>
    </w:p>
    <w:p w:rsidR="00357AEE" w:rsidRPr="000A4A46" w:rsidRDefault="000A4A46" w:rsidP="000A4A46">
      <w:pPr>
        <w:numPr>
          <w:ilvl w:val="1"/>
          <w:numId w:val="1"/>
        </w:numPr>
        <w:tabs>
          <w:tab w:val="clear" w:pos="1247"/>
          <w:tab w:val="clear" w:pos="1814"/>
          <w:tab w:val="clear" w:pos="2381"/>
          <w:tab w:val="clear" w:pos="2948"/>
          <w:tab w:val="clear" w:pos="3515"/>
          <w:tab w:val="clear" w:pos="3935"/>
        </w:tabs>
        <w:spacing w:after="120"/>
        <w:ind w:left="1247" w:firstLine="624"/>
        <w:rPr>
          <w:color w:val="000000"/>
        </w:rPr>
      </w:pPr>
      <w:r w:rsidRPr="005D6D70">
        <w:rPr>
          <w:iCs/>
          <w:color w:val="000000"/>
        </w:rPr>
        <w:t>To report to the Conference of the Parties at its fourteenth meeting on the progress of work on national reporting</w:t>
      </w:r>
      <w:r w:rsidRPr="005D6D70">
        <w:t xml:space="preserve">.  </w:t>
      </w:r>
    </w:p>
    <w:sectPr w:rsidR="00357AEE" w:rsidRPr="000A4A46" w:rsidSect="00357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A0D" w:rsidRDefault="008C0A0D" w:rsidP="000A4A46">
      <w:r>
        <w:separator/>
      </w:r>
    </w:p>
  </w:endnote>
  <w:endnote w:type="continuationSeparator" w:id="0">
    <w:p w:rsidR="008C0A0D" w:rsidRDefault="008C0A0D" w:rsidP="000A4A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A0D" w:rsidRDefault="008C0A0D" w:rsidP="000A4A46">
      <w:r>
        <w:separator/>
      </w:r>
    </w:p>
  </w:footnote>
  <w:footnote w:type="continuationSeparator" w:id="0">
    <w:p w:rsidR="008C0A0D" w:rsidRDefault="008C0A0D" w:rsidP="000A4A46">
      <w:r>
        <w:continuationSeparator/>
      </w:r>
    </w:p>
  </w:footnote>
  <w:footnote w:id="1">
    <w:p w:rsidR="000A4A46" w:rsidRPr="00B34477" w:rsidRDefault="000A4A46" w:rsidP="000A4A46">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UNEP/CHW.13/9/Add.2/Rev.1, annexes I and IV.</w:t>
      </w:r>
    </w:p>
  </w:footnote>
  <w:footnote w:id="2">
    <w:p w:rsidR="000A4A46" w:rsidRPr="00B34477" w:rsidRDefault="000A4A46" w:rsidP="000A4A46">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UNEP/CHW.13/INF/20/Rev.1.</w:t>
      </w:r>
    </w:p>
  </w:footnote>
  <w:footnote w:id="3">
    <w:p w:rsidR="000A4A46" w:rsidRPr="00B34477" w:rsidRDefault="000A4A46" w:rsidP="000A4A46">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UNEP/CHW.13/INF/21.</w:t>
      </w:r>
    </w:p>
  </w:footnote>
  <w:footnote w:id="4">
    <w:p w:rsidR="000A4A46" w:rsidRPr="00B34477" w:rsidRDefault="000A4A46" w:rsidP="000A4A46">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UNEP/CHW.13/INF/22.</w:t>
      </w:r>
    </w:p>
  </w:footnote>
  <w:footnote w:id="5">
    <w:p w:rsidR="000A4A46" w:rsidRPr="00B34477" w:rsidRDefault="000A4A46" w:rsidP="000A4A46">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“Number of Parties to international multilateral environmental agreements on hazardous waste and other chemicals that meet their commitments and obligations in transmitting information as required by each relevant agreement”, as adopted by the Statistical Commission of the United Nations at its forty-eighth session and recommended by the Commission for adoption by the Economic and Social Council of the United Nations (see the report of the Statistical Commission on its forty-eighth session (E/2017/24-E/CN.3/2017/35), </w:t>
      </w:r>
      <w:proofErr w:type="spellStart"/>
      <w:r w:rsidRPr="00B34477">
        <w:rPr>
          <w:sz w:val="18"/>
          <w:szCs w:val="18"/>
        </w:rPr>
        <w:t>ch</w:t>
      </w:r>
      <w:proofErr w:type="spellEnd"/>
      <w:r w:rsidRPr="00B34477">
        <w:rPr>
          <w:sz w:val="18"/>
          <w:szCs w:val="18"/>
        </w:rPr>
        <w:t xml:space="preserve">. </w:t>
      </w:r>
      <w:proofErr w:type="gramStart"/>
      <w:r w:rsidRPr="00B34477">
        <w:rPr>
          <w:sz w:val="18"/>
          <w:szCs w:val="18"/>
        </w:rPr>
        <w:t>I A).</w:t>
      </w:r>
      <w:proofErr w:type="gramEnd"/>
    </w:p>
  </w:footnote>
  <w:footnote w:id="6">
    <w:p w:rsidR="000A4A46" w:rsidRPr="00B34477" w:rsidRDefault="000A4A46" w:rsidP="000A4A46">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“Hazardous waste generated per capita and proportion of hazardous waste treated, by type of treatment”, as adopted by the Statistical Commission of the United Nations at its forty-eighth session and recommended by the Commission for adoption by the Economic and Social Council of the United Nations (see the report of the Statistical Commission on its forty-eighth session (E/2017/24-E/CN.3/2017/35), </w:t>
      </w:r>
      <w:proofErr w:type="spellStart"/>
      <w:r w:rsidRPr="00B34477">
        <w:rPr>
          <w:sz w:val="18"/>
          <w:szCs w:val="18"/>
        </w:rPr>
        <w:t>ch</w:t>
      </w:r>
      <w:proofErr w:type="spellEnd"/>
      <w:r w:rsidRPr="00B34477">
        <w:rPr>
          <w:sz w:val="18"/>
          <w:szCs w:val="18"/>
        </w:rPr>
        <w:t xml:space="preserve">. </w:t>
      </w:r>
      <w:proofErr w:type="gramStart"/>
      <w:r w:rsidRPr="00B34477">
        <w:rPr>
          <w:sz w:val="18"/>
          <w:szCs w:val="18"/>
        </w:rPr>
        <w:t>I A).</w:t>
      </w:r>
      <w:proofErr w:type="gramEnd"/>
    </w:p>
  </w:footnote>
  <w:footnote w:id="7">
    <w:p w:rsidR="000A4A46" w:rsidRPr="00B34477" w:rsidRDefault="000A4A46" w:rsidP="000A4A46">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“National recycling rate, tons of material recycled”, as adopted by the Statistical Commission of the United Nations at its forty-eighth session and recommended by the Commission for adoption by the Economic and Social Council of the United Nations (see the report of the Statistical Commission on its forty-eighth session (E/2017/24-E/CN.3/2017/35), </w:t>
      </w:r>
      <w:proofErr w:type="spellStart"/>
      <w:r w:rsidRPr="00B34477">
        <w:rPr>
          <w:sz w:val="18"/>
          <w:szCs w:val="18"/>
        </w:rPr>
        <w:t>ch</w:t>
      </w:r>
      <w:proofErr w:type="spellEnd"/>
      <w:r w:rsidRPr="00B34477">
        <w:rPr>
          <w:sz w:val="18"/>
          <w:szCs w:val="18"/>
        </w:rPr>
        <w:t xml:space="preserve">. </w:t>
      </w:r>
      <w:proofErr w:type="gramStart"/>
      <w:r w:rsidRPr="00B34477">
        <w:rPr>
          <w:sz w:val="18"/>
          <w:szCs w:val="18"/>
        </w:rPr>
        <w:t>I A).</w:t>
      </w:r>
      <w:proofErr w:type="gramEnd"/>
    </w:p>
  </w:footnote>
  <w:footnote w:id="8">
    <w:p w:rsidR="000A4A46" w:rsidRPr="00B34477" w:rsidRDefault="000A4A46" w:rsidP="000A4A46">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“Ensure sustainable consumption and production patterns,” as adopted by the Statistical Commission of the United Nations at its forty-eighth session and recommended by the Commission for adoption by the Economic and Social Council of the United Nations (see the report of the Statistical Commission on its forty-eighth session (E/2017/24-E/CN.3/2017/35), </w:t>
      </w:r>
      <w:proofErr w:type="spellStart"/>
      <w:r w:rsidRPr="00B34477">
        <w:rPr>
          <w:sz w:val="18"/>
          <w:szCs w:val="18"/>
        </w:rPr>
        <w:t>ch</w:t>
      </w:r>
      <w:proofErr w:type="spellEnd"/>
      <w:r w:rsidRPr="00B34477">
        <w:rPr>
          <w:sz w:val="18"/>
          <w:szCs w:val="18"/>
        </w:rPr>
        <w:t xml:space="preserve">. </w:t>
      </w:r>
      <w:proofErr w:type="gramStart"/>
      <w:r w:rsidRPr="00B34477">
        <w:rPr>
          <w:sz w:val="18"/>
          <w:szCs w:val="18"/>
        </w:rPr>
        <w:t>I A).</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B3E22"/>
    <w:multiLevelType w:val="hybridMultilevel"/>
    <w:tmpl w:val="FE742D36"/>
    <w:lvl w:ilvl="0" w:tplc="BD0AC85E">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rPr>
        <w:rFonts w:cs="Times New Roman" w:hint="default"/>
      </w:r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4A46"/>
    <w:rsid w:val="000A4A46"/>
    <w:rsid w:val="001F402D"/>
    <w:rsid w:val="00357AEE"/>
    <w:rsid w:val="008C0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A46"/>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0A4A46"/>
    <w:rPr>
      <w:rFonts w:ascii="Times New Roman" w:hAnsi="Times New Roman"/>
      <w:color w:val="auto"/>
      <w:sz w:val="20"/>
      <w:szCs w:val="18"/>
      <w:vertAlign w:val="superscript"/>
    </w:rPr>
  </w:style>
  <w:style w:type="paragraph" w:customStyle="1" w:styleId="BBTitle">
    <w:name w:val="BB_Title"/>
    <w:basedOn w:val="Normal"/>
    <w:rsid w:val="000A4A46"/>
    <w:pPr>
      <w:keepNext/>
      <w:keepLines/>
      <w:suppressAutoHyphens/>
      <w:spacing w:before="320" w:after="240"/>
      <w:ind w:left="1247" w:right="567"/>
    </w:pPr>
    <w:rPr>
      <w:b/>
      <w:sz w:val="28"/>
      <w:szCs w:val="28"/>
    </w:rPr>
  </w:style>
  <w:style w:type="paragraph" w:customStyle="1" w:styleId="NormalNonumber">
    <w:name w:val="Normal_No_number"/>
    <w:basedOn w:val="Normal"/>
    <w:link w:val="NormalNonumberChar"/>
    <w:rsid w:val="000A4A46"/>
    <w:pPr>
      <w:spacing w:after="120"/>
      <w:ind w:left="1247"/>
    </w:pPr>
  </w:style>
  <w:style w:type="character" w:customStyle="1" w:styleId="NormalNonumberChar">
    <w:name w:val="Normal_No_number Char"/>
    <w:link w:val="NormalNonumber"/>
    <w:rsid w:val="000A4A46"/>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BRS</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2018-01-05T15:35:00Z</dcterms:created>
  <dcterms:modified xsi:type="dcterms:W3CDTF">2018-01-05T15:50:00Z</dcterms:modified>
</cp:coreProperties>
</file>