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23A" w:rsidRPr="00D431C1" w:rsidRDefault="006C423A" w:rsidP="006C423A">
      <w:pPr>
        <w:tabs>
          <w:tab w:val="left" w:pos="1247"/>
          <w:tab w:val="left" w:pos="1814"/>
          <w:tab w:val="left" w:pos="2381"/>
          <w:tab w:val="left" w:pos="2948"/>
          <w:tab w:val="left" w:pos="3515"/>
        </w:tabs>
        <w:suppressAutoHyphens/>
        <w:spacing w:before="320" w:after="240"/>
        <w:ind w:left="1247" w:right="567"/>
        <w:rPr>
          <w:b/>
          <w:sz w:val="28"/>
          <w:szCs w:val="28"/>
        </w:rPr>
      </w:pPr>
      <w:r w:rsidRPr="00D431C1">
        <w:rPr>
          <w:b/>
          <w:sz w:val="28"/>
          <w:szCs w:val="28"/>
        </w:rPr>
        <w:t xml:space="preserve">SC-8/5: </w:t>
      </w:r>
      <w:proofErr w:type="spellStart"/>
      <w:r w:rsidRPr="00D431C1">
        <w:rPr>
          <w:b/>
          <w:sz w:val="28"/>
          <w:szCs w:val="28"/>
        </w:rPr>
        <w:t>Perfluorooctane</w:t>
      </w:r>
      <w:proofErr w:type="spellEnd"/>
      <w:r w:rsidRPr="00D431C1">
        <w:rPr>
          <w:b/>
          <w:sz w:val="28"/>
          <w:szCs w:val="28"/>
        </w:rPr>
        <w:t xml:space="preserve"> </w:t>
      </w:r>
      <w:proofErr w:type="spellStart"/>
      <w:r w:rsidRPr="00D431C1">
        <w:rPr>
          <w:b/>
          <w:sz w:val="28"/>
          <w:szCs w:val="28"/>
        </w:rPr>
        <w:t>sulfonic</w:t>
      </w:r>
      <w:proofErr w:type="spellEnd"/>
      <w:r w:rsidRPr="00D431C1">
        <w:rPr>
          <w:b/>
          <w:sz w:val="28"/>
          <w:szCs w:val="28"/>
        </w:rPr>
        <w:t xml:space="preserve"> acid, its salts and </w:t>
      </w:r>
      <w:proofErr w:type="spellStart"/>
      <w:r w:rsidRPr="00D431C1">
        <w:rPr>
          <w:b/>
          <w:sz w:val="28"/>
          <w:szCs w:val="28"/>
        </w:rPr>
        <w:t>perfluorooctane</w:t>
      </w:r>
      <w:proofErr w:type="spellEnd"/>
      <w:r w:rsidRPr="00D431C1">
        <w:rPr>
          <w:b/>
          <w:sz w:val="28"/>
          <w:szCs w:val="28"/>
        </w:rPr>
        <w:t xml:space="preserve"> </w:t>
      </w:r>
      <w:proofErr w:type="spellStart"/>
      <w:r w:rsidRPr="00D431C1">
        <w:rPr>
          <w:b/>
          <w:sz w:val="28"/>
          <w:szCs w:val="28"/>
        </w:rPr>
        <w:t>sulfonyl</w:t>
      </w:r>
      <w:proofErr w:type="spellEnd"/>
      <w:r w:rsidRPr="00D431C1">
        <w:rPr>
          <w:b/>
          <w:sz w:val="28"/>
          <w:szCs w:val="28"/>
        </w:rPr>
        <w:t xml:space="preserve"> fluoride </w:t>
      </w:r>
    </w:p>
    <w:p w:rsidR="006C423A" w:rsidRPr="00D431C1" w:rsidRDefault="006C423A" w:rsidP="006C423A">
      <w:pPr>
        <w:tabs>
          <w:tab w:val="left" w:pos="2410"/>
        </w:tabs>
        <w:autoSpaceDE w:val="0"/>
        <w:autoSpaceDN w:val="0"/>
        <w:adjustRightInd w:val="0"/>
        <w:spacing w:after="120"/>
        <w:ind w:left="1276" w:firstLine="567"/>
        <w:rPr>
          <w:rFonts w:eastAsia="Calibri"/>
          <w:iCs/>
          <w:color w:val="000000"/>
          <w:sz w:val="20"/>
        </w:rPr>
      </w:pPr>
      <w:r w:rsidRPr="00D431C1">
        <w:rPr>
          <w:rFonts w:eastAsia="Calibri"/>
          <w:i/>
          <w:iCs/>
          <w:color w:val="000000"/>
          <w:sz w:val="20"/>
        </w:rPr>
        <w:t>The Conference of the Parties</w:t>
      </w:r>
      <w:r w:rsidRPr="00D431C1">
        <w:rPr>
          <w:rFonts w:eastAsia="Calibri"/>
          <w:iCs/>
          <w:color w:val="000000"/>
          <w:sz w:val="20"/>
        </w:rPr>
        <w:t>,</w:t>
      </w:r>
    </w:p>
    <w:p w:rsidR="006C423A" w:rsidRPr="00D431C1" w:rsidRDefault="006C423A" w:rsidP="006C423A">
      <w:pPr>
        <w:pStyle w:val="Normal-pool"/>
        <w:tabs>
          <w:tab w:val="clear" w:pos="1247"/>
          <w:tab w:val="clear" w:pos="1814"/>
          <w:tab w:val="clear" w:pos="2381"/>
          <w:tab w:val="clear" w:pos="2948"/>
          <w:tab w:val="clear" w:pos="3515"/>
          <w:tab w:val="left" w:pos="624"/>
        </w:tabs>
        <w:spacing w:after="120"/>
        <w:ind w:left="1247" w:firstLine="624"/>
      </w:pPr>
      <w:r w:rsidRPr="00D431C1">
        <w:rPr>
          <w:i/>
        </w:rPr>
        <w:t>Noting</w:t>
      </w:r>
      <w:r w:rsidRPr="00D431C1">
        <w:rPr>
          <w:sz w:val="24"/>
        </w:rPr>
        <w:t xml:space="preserve"> </w:t>
      </w:r>
      <w:r w:rsidRPr="00D431C1">
        <w:t xml:space="preserve">the </w:t>
      </w:r>
      <w:r w:rsidRPr="00D431C1">
        <w:rPr>
          <w:iCs/>
          <w:color w:val="000000"/>
        </w:rPr>
        <w:t xml:space="preserve">priority areas for </w:t>
      </w:r>
      <w:r w:rsidRPr="00D802C3">
        <w:rPr>
          <w:iCs/>
          <w:color w:val="000000"/>
        </w:rPr>
        <w:t>action</w:t>
      </w:r>
      <w:r w:rsidRPr="00D802C3">
        <w:t xml:space="preserve"> recognized</w:t>
      </w:r>
      <w:r w:rsidRPr="00D431C1">
        <w:t xml:space="preserve"> in decision SC-8/18 on effectiveness evaluation as they relate to </w:t>
      </w:r>
      <w:proofErr w:type="spellStart"/>
      <w:r w:rsidRPr="00D431C1">
        <w:t>perfluorooctane</w:t>
      </w:r>
      <w:proofErr w:type="spellEnd"/>
      <w:r w:rsidRPr="00D431C1">
        <w:t xml:space="preserve"> </w:t>
      </w:r>
      <w:proofErr w:type="spellStart"/>
      <w:r w:rsidRPr="00D431C1">
        <w:t>sulfonic</w:t>
      </w:r>
      <w:proofErr w:type="spellEnd"/>
      <w:r w:rsidRPr="00D431C1">
        <w:t xml:space="preserve"> acid, its salts and </w:t>
      </w:r>
      <w:proofErr w:type="spellStart"/>
      <w:r w:rsidRPr="00D431C1">
        <w:t>perfluorooctane</w:t>
      </w:r>
      <w:proofErr w:type="spellEnd"/>
      <w:r w:rsidRPr="00D431C1">
        <w:t xml:space="preserve"> </w:t>
      </w:r>
      <w:proofErr w:type="spellStart"/>
      <w:r w:rsidRPr="00D431C1">
        <w:t>sulfonyl</w:t>
      </w:r>
      <w:proofErr w:type="spellEnd"/>
      <w:r w:rsidRPr="00D431C1">
        <w:t xml:space="preserve"> fluoride,</w:t>
      </w:r>
    </w:p>
    <w:p w:rsidR="006C423A" w:rsidRPr="00D431C1" w:rsidRDefault="006C423A" w:rsidP="006C423A">
      <w:pPr>
        <w:pStyle w:val="Normal-pool"/>
        <w:tabs>
          <w:tab w:val="clear" w:pos="1247"/>
          <w:tab w:val="clear" w:pos="1814"/>
          <w:tab w:val="clear" w:pos="2381"/>
          <w:tab w:val="clear" w:pos="2948"/>
          <w:tab w:val="clear" w:pos="3515"/>
          <w:tab w:val="left" w:pos="624"/>
        </w:tabs>
        <w:spacing w:after="120"/>
        <w:ind w:left="1247" w:firstLine="624"/>
        <w:rPr>
          <w:iCs/>
        </w:rPr>
      </w:pPr>
      <w:r w:rsidRPr="00D431C1">
        <w:rPr>
          <w:i/>
          <w:iCs/>
        </w:rPr>
        <w:t xml:space="preserve">Recalling </w:t>
      </w:r>
      <w:r w:rsidRPr="00D431C1">
        <w:rPr>
          <w:iCs/>
        </w:rPr>
        <w:t>paragraph 7 of decision SC-7/5, by which it decided t</w:t>
      </w:r>
      <w:r w:rsidRPr="00D431C1">
        <w:t xml:space="preserve">o undertake the further evaluation of </w:t>
      </w:r>
      <w:proofErr w:type="spellStart"/>
      <w:r w:rsidRPr="00D431C1">
        <w:t>perfluorooctane</w:t>
      </w:r>
      <w:proofErr w:type="spellEnd"/>
      <w:r w:rsidRPr="00D431C1">
        <w:t xml:space="preserve"> </w:t>
      </w:r>
      <w:proofErr w:type="spellStart"/>
      <w:r w:rsidRPr="00D431C1">
        <w:t>sulfonic</w:t>
      </w:r>
      <w:proofErr w:type="spellEnd"/>
      <w:r w:rsidRPr="00D431C1">
        <w:t xml:space="preserve"> acid, its salts and </w:t>
      </w:r>
      <w:proofErr w:type="spellStart"/>
      <w:r w:rsidRPr="00D431C1">
        <w:t>perfluorooctane</w:t>
      </w:r>
      <w:proofErr w:type="spellEnd"/>
      <w:r w:rsidRPr="00D431C1">
        <w:t xml:space="preserve"> </w:t>
      </w:r>
      <w:proofErr w:type="spellStart"/>
      <w:r w:rsidRPr="00D431C1">
        <w:t>sulfonyl</w:t>
      </w:r>
      <w:proofErr w:type="spellEnd"/>
      <w:r w:rsidRPr="00D431C1">
        <w:t xml:space="preserve"> fluoride pursuant to paragraphs 5 and 6 of part III of Annex B to the Stockholm Convention on Persistent Organic Pollutants at its ninth meeting, </w:t>
      </w:r>
    </w:p>
    <w:p w:rsidR="006C423A" w:rsidRPr="00D431C1" w:rsidRDefault="006C423A" w:rsidP="006C423A">
      <w:pPr>
        <w:pStyle w:val="Normal-pool"/>
        <w:numPr>
          <w:ilvl w:val="0"/>
          <w:numId w:val="1"/>
        </w:numPr>
        <w:tabs>
          <w:tab w:val="clear" w:pos="1247"/>
          <w:tab w:val="clear" w:pos="1814"/>
          <w:tab w:val="clear" w:pos="2381"/>
          <w:tab w:val="clear" w:pos="2948"/>
          <w:tab w:val="clear" w:pos="3515"/>
          <w:tab w:val="clear" w:pos="4082"/>
          <w:tab w:val="left" w:pos="2410"/>
        </w:tabs>
        <w:spacing w:after="120"/>
        <w:ind w:left="1247" w:firstLine="624"/>
      </w:pPr>
      <w:r w:rsidRPr="00D431C1">
        <w:rPr>
          <w:i/>
        </w:rPr>
        <w:t>Welcomes</w:t>
      </w:r>
      <w:r w:rsidRPr="00D431C1">
        <w:t xml:space="preserve"> the consolidated guidance on alternatives to </w:t>
      </w:r>
      <w:proofErr w:type="spellStart"/>
      <w:r w:rsidRPr="00D431C1">
        <w:t>perfluorooctane</w:t>
      </w:r>
      <w:proofErr w:type="spellEnd"/>
      <w:r w:rsidRPr="00D431C1">
        <w:t xml:space="preserve"> </w:t>
      </w:r>
      <w:proofErr w:type="spellStart"/>
      <w:r w:rsidRPr="00D431C1">
        <w:t>sulfonic</w:t>
      </w:r>
      <w:proofErr w:type="spellEnd"/>
      <w:r w:rsidRPr="00D431C1">
        <w:t xml:space="preserve"> acid and its related chemicals</w:t>
      </w:r>
      <w:r w:rsidRPr="00D431C1">
        <w:rPr>
          <w:vertAlign w:val="superscript"/>
        </w:rPr>
        <w:footnoteReference w:id="1"/>
      </w:r>
      <w:r w:rsidRPr="00D431C1">
        <w:t xml:space="preserve"> developed by the Persistent Organic Pollutants Review Committee;</w:t>
      </w:r>
    </w:p>
    <w:p w:rsidR="006C423A" w:rsidRPr="00D431C1" w:rsidRDefault="006C423A" w:rsidP="006C423A">
      <w:pPr>
        <w:pStyle w:val="Normal-pool"/>
        <w:numPr>
          <w:ilvl w:val="0"/>
          <w:numId w:val="1"/>
        </w:numPr>
        <w:tabs>
          <w:tab w:val="clear" w:pos="1247"/>
          <w:tab w:val="clear" w:pos="1814"/>
          <w:tab w:val="clear" w:pos="2381"/>
          <w:tab w:val="clear" w:pos="2948"/>
          <w:tab w:val="clear" w:pos="3515"/>
          <w:tab w:val="clear" w:pos="4082"/>
          <w:tab w:val="left" w:pos="2410"/>
        </w:tabs>
        <w:spacing w:after="120"/>
        <w:ind w:left="1247" w:firstLine="624"/>
      </w:pPr>
      <w:r w:rsidRPr="00D431C1">
        <w:rPr>
          <w:i/>
        </w:rPr>
        <w:t xml:space="preserve">Takes note of </w:t>
      </w:r>
      <w:r w:rsidRPr="00D431C1">
        <w:t xml:space="preserve">the options for possible action by the Conference of the Parties should it conclude that there is no continued need for the various acceptable purposes for </w:t>
      </w:r>
      <w:proofErr w:type="spellStart"/>
      <w:r w:rsidRPr="00D431C1">
        <w:t>perfluorooctane</w:t>
      </w:r>
      <w:proofErr w:type="spellEnd"/>
      <w:r w:rsidRPr="00D431C1">
        <w:t xml:space="preserve"> </w:t>
      </w:r>
      <w:proofErr w:type="spellStart"/>
      <w:r w:rsidRPr="00D431C1">
        <w:t>sulfonic</w:t>
      </w:r>
      <w:proofErr w:type="spellEnd"/>
      <w:r w:rsidRPr="00D431C1">
        <w:t xml:space="preserve"> acid, its salts and </w:t>
      </w:r>
      <w:proofErr w:type="spellStart"/>
      <w:r w:rsidRPr="00D431C1">
        <w:t>perfluorooctane</w:t>
      </w:r>
      <w:proofErr w:type="spellEnd"/>
      <w:r w:rsidRPr="00D431C1">
        <w:t xml:space="preserve"> </w:t>
      </w:r>
      <w:proofErr w:type="spellStart"/>
      <w:r w:rsidRPr="00D431C1">
        <w:t>sulfonyl</w:t>
      </w:r>
      <w:proofErr w:type="spellEnd"/>
      <w:r w:rsidRPr="00D431C1">
        <w:t xml:space="preserve"> fluoride listed in Annex B to the Convention;</w:t>
      </w:r>
      <w:r w:rsidRPr="00D431C1">
        <w:rPr>
          <w:szCs w:val="18"/>
          <w:vertAlign w:val="superscript"/>
        </w:rPr>
        <w:footnoteReference w:id="2"/>
      </w:r>
      <w:r w:rsidRPr="00D431C1">
        <w:t xml:space="preserve"> </w:t>
      </w:r>
    </w:p>
    <w:p w:rsidR="006C423A" w:rsidRPr="00D431C1" w:rsidRDefault="006C423A" w:rsidP="006C423A">
      <w:pPr>
        <w:pStyle w:val="Normal-pool"/>
        <w:numPr>
          <w:ilvl w:val="0"/>
          <w:numId w:val="1"/>
        </w:numPr>
        <w:tabs>
          <w:tab w:val="clear" w:pos="1247"/>
          <w:tab w:val="clear" w:pos="1814"/>
          <w:tab w:val="clear" w:pos="2381"/>
          <w:tab w:val="clear" w:pos="2948"/>
          <w:tab w:val="clear" w:pos="3515"/>
          <w:tab w:val="clear" w:pos="4082"/>
          <w:tab w:val="left" w:pos="2410"/>
        </w:tabs>
        <w:spacing w:after="120"/>
        <w:ind w:left="1247" w:firstLine="624"/>
      </w:pPr>
      <w:r w:rsidRPr="00D431C1">
        <w:rPr>
          <w:i/>
        </w:rPr>
        <w:t xml:space="preserve">Also takes note of </w:t>
      </w:r>
      <w:r w:rsidRPr="00D431C1">
        <w:t xml:space="preserve">the </w:t>
      </w:r>
      <w:r w:rsidRPr="00D431C1">
        <w:rPr>
          <w:rFonts w:eastAsia="Calibri"/>
          <w:color w:val="000000"/>
        </w:rPr>
        <w:t xml:space="preserve">information </w:t>
      </w:r>
      <w:r w:rsidRPr="00D431C1">
        <w:t>related</w:t>
      </w:r>
      <w:r w:rsidRPr="00D431C1">
        <w:rPr>
          <w:rFonts w:eastAsia="Calibri"/>
          <w:color w:val="000000"/>
        </w:rPr>
        <w:t xml:space="preserve"> to the interpretation and application of Article 4 of the Convention</w:t>
      </w:r>
      <w:r w:rsidRPr="00D431C1">
        <w:t xml:space="preserve"> transmitted by Parties;</w:t>
      </w:r>
      <w:r w:rsidRPr="00D431C1">
        <w:rPr>
          <w:szCs w:val="18"/>
          <w:vertAlign w:val="superscript"/>
        </w:rPr>
        <w:footnoteReference w:id="3"/>
      </w:r>
    </w:p>
    <w:p w:rsidR="006C423A" w:rsidRPr="00D431C1" w:rsidRDefault="006C423A" w:rsidP="006C423A">
      <w:pPr>
        <w:pStyle w:val="Normal-pool"/>
        <w:numPr>
          <w:ilvl w:val="0"/>
          <w:numId w:val="1"/>
        </w:numPr>
        <w:tabs>
          <w:tab w:val="clear" w:pos="1247"/>
          <w:tab w:val="clear" w:pos="1814"/>
          <w:tab w:val="clear" w:pos="2381"/>
          <w:tab w:val="clear" w:pos="2948"/>
          <w:tab w:val="clear" w:pos="3515"/>
          <w:tab w:val="clear" w:pos="4082"/>
          <w:tab w:val="left" w:pos="2410"/>
        </w:tabs>
        <w:spacing w:after="120"/>
        <w:ind w:left="1247" w:firstLine="624"/>
        <w:rPr>
          <w:lang w:eastAsia="de-DE"/>
        </w:rPr>
      </w:pPr>
      <w:r w:rsidRPr="00D431C1">
        <w:rPr>
          <w:i/>
        </w:rPr>
        <w:t xml:space="preserve">Invites </w:t>
      </w:r>
      <w:r w:rsidRPr="00D431C1">
        <w:rPr>
          <w:lang w:eastAsia="de-DE"/>
        </w:rPr>
        <w:t xml:space="preserve">Parties and others to submit to the Secretariat, by 15 February 2018, the following information for use by the Secretariat in preparing its next report on the evaluation of </w:t>
      </w:r>
      <w:proofErr w:type="spellStart"/>
      <w:r w:rsidRPr="00D431C1">
        <w:rPr>
          <w:lang w:eastAsia="de-DE"/>
        </w:rPr>
        <w:t>perfluorooctane</w:t>
      </w:r>
      <w:proofErr w:type="spellEnd"/>
      <w:r w:rsidRPr="00D431C1">
        <w:rPr>
          <w:lang w:eastAsia="de-DE"/>
        </w:rPr>
        <w:t xml:space="preserve"> </w:t>
      </w:r>
      <w:proofErr w:type="spellStart"/>
      <w:r w:rsidRPr="00D431C1">
        <w:rPr>
          <w:lang w:eastAsia="de-DE"/>
        </w:rPr>
        <w:t>sulfonic</w:t>
      </w:r>
      <w:proofErr w:type="spellEnd"/>
      <w:r w:rsidRPr="00D431C1">
        <w:rPr>
          <w:lang w:eastAsia="de-DE"/>
        </w:rPr>
        <w:t xml:space="preserve"> acid, its salts and </w:t>
      </w:r>
      <w:proofErr w:type="spellStart"/>
      <w:r w:rsidRPr="00D431C1">
        <w:rPr>
          <w:lang w:eastAsia="de-DE"/>
        </w:rPr>
        <w:t>perfluorooctane</w:t>
      </w:r>
      <w:proofErr w:type="spellEnd"/>
      <w:r w:rsidRPr="00D431C1">
        <w:rPr>
          <w:lang w:eastAsia="de-DE"/>
        </w:rPr>
        <w:t xml:space="preserve"> </w:t>
      </w:r>
      <w:proofErr w:type="spellStart"/>
      <w:r w:rsidRPr="00D431C1">
        <w:rPr>
          <w:lang w:eastAsia="de-DE"/>
        </w:rPr>
        <w:t>sulfonyl</w:t>
      </w:r>
      <w:proofErr w:type="spellEnd"/>
      <w:r w:rsidRPr="00D431C1">
        <w:rPr>
          <w:lang w:eastAsia="de-DE"/>
        </w:rPr>
        <w:t xml:space="preserve"> fluoride in accordance with paragraph 6 of the annex to decision SC-6/4 and by the </w:t>
      </w:r>
      <w:r w:rsidRPr="00D431C1">
        <w:t xml:space="preserve">Persistent Organic Pollutants Review </w:t>
      </w:r>
      <w:r w:rsidRPr="00D431C1">
        <w:rPr>
          <w:lang w:eastAsia="de-DE"/>
        </w:rPr>
        <w:t xml:space="preserve">Committee in its future updating of the guidance on alternatives to </w:t>
      </w:r>
      <w:proofErr w:type="spellStart"/>
      <w:r w:rsidRPr="00D431C1">
        <w:rPr>
          <w:lang w:eastAsia="de-DE"/>
        </w:rPr>
        <w:t>perfluorooctane</w:t>
      </w:r>
      <w:proofErr w:type="spellEnd"/>
      <w:r w:rsidRPr="00D431C1">
        <w:rPr>
          <w:lang w:eastAsia="de-DE"/>
        </w:rPr>
        <w:t xml:space="preserve"> </w:t>
      </w:r>
      <w:proofErr w:type="spellStart"/>
      <w:r w:rsidRPr="00D431C1">
        <w:rPr>
          <w:lang w:eastAsia="de-DE"/>
        </w:rPr>
        <w:t>sulfonic</w:t>
      </w:r>
      <w:proofErr w:type="spellEnd"/>
      <w:r w:rsidRPr="00D431C1">
        <w:rPr>
          <w:lang w:eastAsia="de-DE"/>
        </w:rPr>
        <w:t xml:space="preserve"> acid and its related chemicals:</w:t>
      </w:r>
    </w:p>
    <w:p w:rsidR="006C423A" w:rsidRPr="00D431C1" w:rsidRDefault="006C423A" w:rsidP="006C423A">
      <w:pPr>
        <w:pStyle w:val="Normal-pool"/>
        <w:numPr>
          <w:ilvl w:val="0"/>
          <w:numId w:val="3"/>
        </w:numPr>
        <w:tabs>
          <w:tab w:val="clear" w:pos="1247"/>
          <w:tab w:val="clear" w:pos="1814"/>
          <w:tab w:val="clear" w:pos="2381"/>
          <w:tab w:val="clear" w:pos="2948"/>
          <w:tab w:val="clear" w:pos="3515"/>
          <w:tab w:val="clear" w:pos="4082"/>
        </w:tabs>
        <w:spacing w:after="120"/>
        <w:ind w:left="1276" w:firstLine="567"/>
        <w:rPr>
          <w:lang w:eastAsia="de-DE"/>
        </w:rPr>
      </w:pPr>
      <w:r w:rsidRPr="00D431C1">
        <w:rPr>
          <w:lang w:eastAsia="de-DE"/>
        </w:rPr>
        <w:t xml:space="preserve">Information on the </w:t>
      </w:r>
      <w:r w:rsidRPr="00D431C1">
        <w:t>production</w:t>
      </w:r>
      <w:r w:rsidRPr="00D431C1">
        <w:rPr>
          <w:lang w:eastAsia="de-DE"/>
        </w:rPr>
        <w:t xml:space="preserve"> and use of </w:t>
      </w:r>
      <w:proofErr w:type="spellStart"/>
      <w:r w:rsidRPr="00D431C1">
        <w:rPr>
          <w:lang w:eastAsia="de-DE"/>
        </w:rPr>
        <w:t>sulfluramid</w:t>
      </w:r>
      <w:proofErr w:type="spellEnd"/>
      <w:r w:rsidRPr="00D431C1">
        <w:rPr>
          <w:lang w:eastAsia="de-DE"/>
        </w:rPr>
        <w:t>;</w:t>
      </w:r>
    </w:p>
    <w:p w:rsidR="006C423A" w:rsidRPr="00D431C1" w:rsidRDefault="006C423A" w:rsidP="006C423A">
      <w:pPr>
        <w:pStyle w:val="Normal-pool"/>
        <w:numPr>
          <w:ilvl w:val="0"/>
          <w:numId w:val="3"/>
        </w:numPr>
        <w:tabs>
          <w:tab w:val="clear" w:pos="1247"/>
          <w:tab w:val="clear" w:pos="1814"/>
          <w:tab w:val="clear" w:pos="2381"/>
          <w:tab w:val="clear" w:pos="2948"/>
          <w:tab w:val="clear" w:pos="3515"/>
          <w:tab w:val="clear" w:pos="4082"/>
        </w:tabs>
        <w:spacing w:after="120"/>
        <w:ind w:left="1276" w:firstLine="567"/>
        <w:rPr>
          <w:lang w:eastAsia="de-DE"/>
        </w:rPr>
      </w:pPr>
      <w:r w:rsidRPr="00D431C1">
        <w:rPr>
          <w:lang w:eastAsia="de-DE"/>
        </w:rPr>
        <w:t xml:space="preserve">Information on local monitoring of </w:t>
      </w:r>
      <w:r w:rsidRPr="00D431C1">
        <w:t>releases</w:t>
      </w:r>
      <w:r w:rsidRPr="00D431C1">
        <w:rPr>
          <w:lang w:eastAsia="de-DE"/>
        </w:rPr>
        <w:t xml:space="preserve"> of </w:t>
      </w:r>
      <w:proofErr w:type="spellStart"/>
      <w:r w:rsidRPr="00D431C1">
        <w:rPr>
          <w:lang w:eastAsia="de-DE"/>
        </w:rPr>
        <w:t>perfluorooctane</w:t>
      </w:r>
      <w:proofErr w:type="spellEnd"/>
      <w:r w:rsidRPr="00D431C1">
        <w:rPr>
          <w:lang w:eastAsia="de-DE"/>
        </w:rPr>
        <w:t xml:space="preserve"> </w:t>
      </w:r>
      <w:proofErr w:type="spellStart"/>
      <w:r w:rsidRPr="00D431C1">
        <w:rPr>
          <w:lang w:eastAsia="de-DE"/>
        </w:rPr>
        <w:t>sulfonic</w:t>
      </w:r>
      <w:proofErr w:type="spellEnd"/>
      <w:r w:rsidRPr="00D431C1">
        <w:rPr>
          <w:lang w:eastAsia="de-DE"/>
        </w:rPr>
        <w:t xml:space="preserve"> acid from the use of </w:t>
      </w:r>
      <w:proofErr w:type="spellStart"/>
      <w:r w:rsidRPr="00D431C1">
        <w:rPr>
          <w:lang w:eastAsia="de-DE"/>
        </w:rPr>
        <w:t>sulfluramid</w:t>
      </w:r>
      <w:proofErr w:type="spellEnd"/>
      <w:r w:rsidRPr="00D431C1">
        <w:rPr>
          <w:lang w:eastAsia="de-DE"/>
        </w:rPr>
        <w:t>;</w:t>
      </w:r>
    </w:p>
    <w:p w:rsidR="006C423A" w:rsidRPr="00D431C1" w:rsidRDefault="006C423A" w:rsidP="006C423A">
      <w:pPr>
        <w:pStyle w:val="Normal-pool"/>
        <w:numPr>
          <w:ilvl w:val="0"/>
          <w:numId w:val="3"/>
        </w:numPr>
        <w:tabs>
          <w:tab w:val="clear" w:pos="1247"/>
          <w:tab w:val="clear" w:pos="1814"/>
          <w:tab w:val="clear" w:pos="2381"/>
          <w:tab w:val="clear" w:pos="2948"/>
          <w:tab w:val="clear" w:pos="3515"/>
          <w:tab w:val="clear" w:pos="4082"/>
        </w:tabs>
        <w:spacing w:after="120"/>
        <w:ind w:left="1276" w:firstLine="567"/>
        <w:rPr>
          <w:lang w:eastAsia="de-DE"/>
        </w:rPr>
      </w:pPr>
      <w:r w:rsidRPr="00D431C1">
        <w:rPr>
          <w:lang w:eastAsia="de-DE"/>
        </w:rPr>
        <w:t xml:space="preserve">Information on research on and the development of safe alternatives to </w:t>
      </w:r>
      <w:proofErr w:type="spellStart"/>
      <w:r w:rsidRPr="00D431C1">
        <w:rPr>
          <w:lang w:eastAsia="de-DE"/>
        </w:rPr>
        <w:t>perfluorooctane</w:t>
      </w:r>
      <w:proofErr w:type="spellEnd"/>
      <w:r w:rsidRPr="00D431C1">
        <w:rPr>
          <w:lang w:eastAsia="de-DE"/>
        </w:rPr>
        <w:t xml:space="preserve"> </w:t>
      </w:r>
      <w:proofErr w:type="spellStart"/>
      <w:r w:rsidRPr="00D431C1">
        <w:rPr>
          <w:lang w:eastAsia="de-DE"/>
        </w:rPr>
        <w:t>sulfonic</w:t>
      </w:r>
      <w:proofErr w:type="spellEnd"/>
      <w:r w:rsidRPr="00D431C1">
        <w:rPr>
          <w:lang w:eastAsia="de-DE"/>
        </w:rPr>
        <w:t xml:space="preserve"> acid, its salts and </w:t>
      </w:r>
      <w:proofErr w:type="spellStart"/>
      <w:r w:rsidRPr="00D431C1">
        <w:rPr>
          <w:lang w:eastAsia="de-DE"/>
        </w:rPr>
        <w:t>perfluorooctane</w:t>
      </w:r>
      <w:proofErr w:type="spellEnd"/>
      <w:r w:rsidRPr="00D431C1">
        <w:rPr>
          <w:lang w:eastAsia="de-DE"/>
        </w:rPr>
        <w:t xml:space="preserve"> </w:t>
      </w:r>
      <w:proofErr w:type="spellStart"/>
      <w:r w:rsidRPr="00D431C1">
        <w:rPr>
          <w:lang w:eastAsia="de-DE"/>
        </w:rPr>
        <w:t>sulfonyl</w:t>
      </w:r>
      <w:proofErr w:type="spellEnd"/>
      <w:r w:rsidRPr="00D431C1">
        <w:rPr>
          <w:lang w:eastAsia="de-DE"/>
        </w:rPr>
        <w:t xml:space="preserve"> fluoride as stipulated in paragraph 4 (c) of part III of Annex B to the Convention;</w:t>
      </w:r>
    </w:p>
    <w:p w:rsidR="006C423A" w:rsidRPr="00D431C1" w:rsidRDefault="006C423A" w:rsidP="006C423A">
      <w:pPr>
        <w:pStyle w:val="Normal-pool"/>
        <w:numPr>
          <w:ilvl w:val="0"/>
          <w:numId w:val="1"/>
        </w:numPr>
        <w:tabs>
          <w:tab w:val="clear" w:pos="1247"/>
          <w:tab w:val="clear" w:pos="1814"/>
          <w:tab w:val="clear" w:pos="2381"/>
          <w:tab w:val="clear" w:pos="2948"/>
          <w:tab w:val="clear" w:pos="3515"/>
          <w:tab w:val="clear" w:pos="4082"/>
          <w:tab w:val="left" w:pos="2410"/>
        </w:tabs>
        <w:spacing w:after="120"/>
        <w:ind w:left="1247" w:firstLine="624"/>
        <w:rPr>
          <w:b/>
          <w:i/>
          <w:iCs/>
          <w:lang w:eastAsia="de-DE"/>
        </w:rPr>
      </w:pPr>
      <w:r w:rsidRPr="00D431C1">
        <w:rPr>
          <w:i/>
        </w:rPr>
        <w:t>Encourages</w:t>
      </w:r>
      <w:r w:rsidRPr="00D431C1">
        <w:t xml:space="preserve"> the regional centres and others to provide support to Parties to improve their technical and </w:t>
      </w:r>
      <w:r w:rsidRPr="00D431C1">
        <w:rPr>
          <w:lang w:eastAsia="de-DE"/>
        </w:rPr>
        <w:t>legal</w:t>
      </w:r>
      <w:r w:rsidRPr="00D431C1">
        <w:t xml:space="preserve"> capacity for the sound management of </w:t>
      </w:r>
      <w:proofErr w:type="spellStart"/>
      <w:r w:rsidRPr="00D431C1">
        <w:t>perfluorooctane</w:t>
      </w:r>
      <w:proofErr w:type="spellEnd"/>
      <w:r w:rsidRPr="00D431C1">
        <w:t xml:space="preserve"> </w:t>
      </w:r>
      <w:proofErr w:type="spellStart"/>
      <w:r w:rsidRPr="00D431C1">
        <w:t>sulfonic</w:t>
      </w:r>
      <w:proofErr w:type="spellEnd"/>
      <w:r w:rsidRPr="00D431C1">
        <w:t xml:space="preserve"> acid, its salts and </w:t>
      </w:r>
      <w:proofErr w:type="spellStart"/>
      <w:r w:rsidRPr="00D431C1">
        <w:t>perfluorooctane</w:t>
      </w:r>
      <w:proofErr w:type="spellEnd"/>
      <w:r w:rsidRPr="00D431C1">
        <w:t xml:space="preserve"> </w:t>
      </w:r>
      <w:proofErr w:type="spellStart"/>
      <w:r w:rsidRPr="00D431C1">
        <w:t>sulfonyl</w:t>
      </w:r>
      <w:proofErr w:type="spellEnd"/>
      <w:r w:rsidRPr="00D431C1">
        <w:t xml:space="preserve"> fluoride and the introduction of alternatives;</w:t>
      </w:r>
    </w:p>
    <w:p w:rsidR="006C423A" w:rsidRPr="00D431C1" w:rsidRDefault="006C423A" w:rsidP="006C423A">
      <w:pPr>
        <w:pStyle w:val="Normal-pool"/>
        <w:numPr>
          <w:ilvl w:val="0"/>
          <w:numId w:val="1"/>
        </w:numPr>
        <w:tabs>
          <w:tab w:val="clear" w:pos="1247"/>
          <w:tab w:val="clear" w:pos="1814"/>
          <w:tab w:val="clear" w:pos="2381"/>
          <w:tab w:val="clear" w:pos="2948"/>
          <w:tab w:val="clear" w:pos="3515"/>
          <w:tab w:val="clear" w:pos="4082"/>
          <w:tab w:val="left" w:pos="2410"/>
        </w:tabs>
        <w:spacing w:after="120"/>
        <w:ind w:left="1247" w:firstLine="624"/>
        <w:rPr>
          <w:sz w:val="24"/>
        </w:rPr>
      </w:pPr>
      <w:r w:rsidRPr="00D431C1">
        <w:rPr>
          <w:i/>
          <w:iCs/>
          <w:color w:val="000000"/>
        </w:rPr>
        <w:t xml:space="preserve">Requests </w:t>
      </w:r>
      <w:r w:rsidRPr="00D431C1">
        <w:rPr>
          <w:iCs/>
          <w:color w:val="000000"/>
        </w:rPr>
        <w:t xml:space="preserve">the </w:t>
      </w:r>
      <w:r w:rsidRPr="00D431C1">
        <w:t>Secretariat</w:t>
      </w:r>
      <w:r w:rsidRPr="00D431C1">
        <w:rPr>
          <w:iCs/>
          <w:color w:val="000000"/>
        </w:rPr>
        <w:t>:</w:t>
      </w:r>
    </w:p>
    <w:p w:rsidR="006C423A" w:rsidRPr="00D431C1" w:rsidRDefault="006C423A" w:rsidP="006C423A">
      <w:pPr>
        <w:pStyle w:val="Normal-pool"/>
        <w:numPr>
          <w:ilvl w:val="0"/>
          <w:numId w:val="2"/>
        </w:numPr>
        <w:tabs>
          <w:tab w:val="clear" w:pos="1247"/>
          <w:tab w:val="clear" w:pos="1814"/>
          <w:tab w:val="clear" w:pos="2381"/>
          <w:tab w:val="clear" w:pos="2948"/>
          <w:tab w:val="clear" w:pos="3515"/>
          <w:tab w:val="clear" w:pos="3935"/>
          <w:tab w:val="clear" w:pos="4082"/>
          <w:tab w:val="left" w:pos="624"/>
        </w:tabs>
        <w:spacing w:after="120"/>
        <w:ind w:left="1247" w:firstLine="624"/>
        <w:rPr>
          <w:lang w:eastAsia="de-DE"/>
        </w:rPr>
      </w:pPr>
      <w:r w:rsidRPr="00D431C1">
        <w:rPr>
          <w:lang w:eastAsia="de-DE"/>
        </w:rPr>
        <w:t>To continue to support the process set out in the annex to decision SC-6/4, in accordance with the revised schedule set out in the annex to decision SC-7/5, and to support Parties, subject to the availability of resources, in collecting the information required for the process;</w:t>
      </w:r>
    </w:p>
    <w:p w:rsidR="006C423A" w:rsidRPr="00D431C1" w:rsidRDefault="006C423A" w:rsidP="006C423A">
      <w:pPr>
        <w:pStyle w:val="Normal-pool"/>
        <w:numPr>
          <w:ilvl w:val="0"/>
          <w:numId w:val="2"/>
        </w:numPr>
        <w:tabs>
          <w:tab w:val="clear" w:pos="1247"/>
          <w:tab w:val="clear" w:pos="1814"/>
          <w:tab w:val="clear" w:pos="2381"/>
          <w:tab w:val="clear" w:pos="2948"/>
          <w:tab w:val="clear" w:pos="3515"/>
          <w:tab w:val="clear" w:pos="3935"/>
          <w:tab w:val="clear" w:pos="4082"/>
          <w:tab w:val="left" w:pos="624"/>
        </w:tabs>
        <w:spacing w:after="120"/>
        <w:ind w:left="1247" w:firstLine="624"/>
        <w:rPr>
          <w:lang w:eastAsia="de-DE"/>
        </w:rPr>
      </w:pPr>
      <w:r w:rsidRPr="00D431C1">
        <w:rPr>
          <w:lang w:eastAsia="de-DE"/>
        </w:rPr>
        <w:t xml:space="preserve">To further promote the exchange of information, including information provided by Parties and others, on alternatives to </w:t>
      </w:r>
      <w:proofErr w:type="spellStart"/>
      <w:r w:rsidRPr="00D431C1">
        <w:rPr>
          <w:lang w:eastAsia="de-DE"/>
        </w:rPr>
        <w:t>perfluorooctane</w:t>
      </w:r>
      <w:proofErr w:type="spellEnd"/>
      <w:r w:rsidRPr="00D431C1">
        <w:rPr>
          <w:lang w:eastAsia="de-DE"/>
        </w:rPr>
        <w:t xml:space="preserve"> </w:t>
      </w:r>
      <w:proofErr w:type="spellStart"/>
      <w:r w:rsidRPr="00D431C1">
        <w:rPr>
          <w:lang w:eastAsia="de-DE"/>
        </w:rPr>
        <w:t>sulfonic</w:t>
      </w:r>
      <w:proofErr w:type="spellEnd"/>
      <w:r w:rsidRPr="00D431C1">
        <w:rPr>
          <w:lang w:eastAsia="de-DE"/>
        </w:rPr>
        <w:t xml:space="preserve"> acid, its salts and </w:t>
      </w:r>
      <w:proofErr w:type="spellStart"/>
      <w:r w:rsidRPr="00D431C1">
        <w:rPr>
          <w:lang w:eastAsia="de-DE"/>
        </w:rPr>
        <w:t>perfluorooctane</w:t>
      </w:r>
      <w:proofErr w:type="spellEnd"/>
      <w:r w:rsidRPr="00D431C1">
        <w:rPr>
          <w:lang w:eastAsia="de-DE"/>
        </w:rPr>
        <w:t xml:space="preserve"> </w:t>
      </w:r>
      <w:proofErr w:type="spellStart"/>
      <w:r w:rsidRPr="00D431C1">
        <w:rPr>
          <w:lang w:eastAsia="de-DE"/>
        </w:rPr>
        <w:t>sulfonyl</w:t>
      </w:r>
      <w:proofErr w:type="spellEnd"/>
      <w:r w:rsidRPr="00D431C1">
        <w:rPr>
          <w:lang w:eastAsia="de-DE"/>
        </w:rPr>
        <w:t xml:space="preserve"> fluoride and their related chemicals;</w:t>
      </w:r>
    </w:p>
    <w:p w:rsidR="006C423A" w:rsidRPr="00D431C1" w:rsidRDefault="006C423A" w:rsidP="006C423A">
      <w:pPr>
        <w:pStyle w:val="Normal-pool"/>
        <w:keepNext/>
        <w:keepLines/>
        <w:numPr>
          <w:ilvl w:val="0"/>
          <w:numId w:val="2"/>
        </w:numPr>
        <w:tabs>
          <w:tab w:val="clear" w:pos="1247"/>
          <w:tab w:val="clear" w:pos="1814"/>
          <w:tab w:val="clear" w:pos="2381"/>
          <w:tab w:val="clear" w:pos="2948"/>
          <w:tab w:val="clear" w:pos="3515"/>
          <w:tab w:val="clear" w:pos="3935"/>
          <w:tab w:val="clear" w:pos="4082"/>
          <w:tab w:val="left" w:pos="624"/>
        </w:tabs>
        <w:spacing w:after="120"/>
        <w:ind w:left="1247" w:firstLine="624"/>
      </w:pPr>
      <w:r w:rsidRPr="00D431C1">
        <w:rPr>
          <w:lang w:eastAsia="de-DE"/>
        </w:rPr>
        <w:lastRenderedPageBreak/>
        <w:t xml:space="preserve">To provide support to Parties, in particular developing country Parties and Parties with economies in transition, subject to the availability of resources, to build their capacity to identify and collect information on </w:t>
      </w:r>
      <w:proofErr w:type="spellStart"/>
      <w:r w:rsidRPr="00D431C1">
        <w:rPr>
          <w:lang w:eastAsia="de-DE"/>
        </w:rPr>
        <w:t>perfluorooctane</w:t>
      </w:r>
      <w:proofErr w:type="spellEnd"/>
      <w:r w:rsidRPr="00D431C1">
        <w:rPr>
          <w:lang w:eastAsia="de-DE"/>
        </w:rPr>
        <w:t xml:space="preserve"> </w:t>
      </w:r>
      <w:proofErr w:type="spellStart"/>
      <w:r w:rsidRPr="00D431C1">
        <w:rPr>
          <w:lang w:eastAsia="de-DE"/>
        </w:rPr>
        <w:t>sulfonic</w:t>
      </w:r>
      <w:proofErr w:type="spellEnd"/>
      <w:r w:rsidRPr="00D431C1">
        <w:rPr>
          <w:lang w:eastAsia="de-DE"/>
        </w:rPr>
        <w:t xml:space="preserve"> acid, its salts and </w:t>
      </w:r>
      <w:proofErr w:type="spellStart"/>
      <w:r w:rsidRPr="00D431C1">
        <w:t>perfluorooctane</w:t>
      </w:r>
      <w:proofErr w:type="spellEnd"/>
      <w:r w:rsidRPr="00D431C1">
        <w:t xml:space="preserve"> </w:t>
      </w:r>
      <w:proofErr w:type="spellStart"/>
      <w:r w:rsidRPr="00D431C1">
        <w:t>sulfonyl</w:t>
      </w:r>
      <w:proofErr w:type="spellEnd"/>
      <w:r w:rsidRPr="00D431C1">
        <w:t xml:space="preserve"> fluoride, to strengthen their legislation and regulations on the management of those chemicals throughout their life cycles and to introduce safer, effective and affordable alternatives to those chemicals.</w:t>
      </w:r>
    </w:p>
    <w:p w:rsidR="00EE16C0" w:rsidRDefault="00EE16C0"/>
    <w:sectPr w:rsidR="00EE16C0" w:rsidSect="00EE16C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111B" w:rsidRDefault="000E111B" w:rsidP="006C423A">
      <w:r>
        <w:separator/>
      </w:r>
    </w:p>
  </w:endnote>
  <w:endnote w:type="continuationSeparator" w:id="0">
    <w:p w:rsidR="000E111B" w:rsidRDefault="000E111B" w:rsidP="006C423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111B" w:rsidRDefault="000E111B" w:rsidP="006C423A">
      <w:r>
        <w:separator/>
      </w:r>
    </w:p>
  </w:footnote>
  <w:footnote w:type="continuationSeparator" w:id="0">
    <w:p w:rsidR="000E111B" w:rsidRDefault="000E111B" w:rsidP="006C423A">
      <w:r>
        <w:continuationSeparator/>
      </w:r>
    </w:p>
  </w:footnote>
  <w:footnote w:id="1">
    <w:p w:rsidR="006C423A" w:rsidRPr="00092F5F" w:rsidRDefault="006C423A" w:rsidP="006C423A">
      <w:pPr>
        <w:pStyle w:val="Normalpool"/>
        <w:tabs>
          <w:tab w:val="left" w:pos="624"/>
        </w:tabs>
        <w:spacing w:before="20" w:after="20"/>
        <w:ind w:left="1247" w:right="57"/>
        <w:rPr>
          <w:sz w:val="18"/>
          <w:szCs w:val="18"/>
        </w:rPr>
      </w:pPr>
      <w:r w:rsidRPr="00092F5F">
        <w:rPr>
          <w:rStyle w:val="FootnoteReference"/>
          <w:szCs w:val="18"/>
        </w:rPr>
        <w:footnoteRef/>
      </w:r>
      <w:r w:rsidRPr="00092F5F">
        <w:rPr>
          <w:sz w:val="18"/>
          <w:szCs w:val="18"/>
        </w:rPr>
        <w:t xml:space="preserve"> UNEP/POPS/POPRC.12/INF/15/</w:t>
      </w:r>
      <w:proofErr w:type="spellStart"/>
      <w:r w:rsidRPr="00092F5F">
        <w:rPr>
          <w:sz w:val="18"/>
          <w:szCs w:val="18"/>
        </w:rPr>
        <w:t>Rev</w:t>
      </w:r>
      <w:proofErr w:type="spellEnd"/>
      <w:r w:rsidRPr="00092F5F">
        <w:rPr>
          <w:sz w:val="18"/>
          <w:szCs w:val="18"/>
        </w:rPr>
        <w:t>.1</w:t>
      </w:r>
      <w:r w:rsidRPr="00092F5F">
        <w:rPr>
          <w:iCs/>
          <w:color w:val="000000"/>
          <w:sz w:val="18"/>
          <w:szCs w:val="18"/>
        </w:rPr>
        <w:t>.</w:t>
      </w:r>
    </w:p>
  </w:footnote>
  <w:footnote w:id="2">
    <w:p w:rsidR="006C423A" w:rsidRPr="00092F5F" w:rsidRDefault="006C423A" w:rsidP="006C423A">
      <w:pPr>
        <w:pStyle w:val="Normalpool"/>
        <w:tabs>
          <w:tab w:val="left" w:pos="624"/>
        </w:tabs>
        <w:spacing w:before="20" w:after="20"/>
        <w:ind w:left="1247" w:right="57"/>
        <w:rPr>
          <w:sz w:val="18"/>
          <w:szCs w:val="18"/>
        </w:rPr>
      </w:pPr>
      <w:r w:rsidRPr="00092F5F">
        <w:rPr>
          <w:rStyle w:val="FootnoteReference"/>
          <w:szCs w:val="18"/>
        </w:rPr>
        <w:footnoteRef/>
      </w:r>
      <w:r w:rsidRPr="00092F5F">
        <w:rPr>
          <w:sz w:val="18"/>
          <w:szCs w:val="18"/>
        </w:rPr>
        <w:t xml:space="preserve"> </w:t>
      </w:r>
      <w:bookmarkStart w:id="0" w:name="_Hlk499193292"/>
      <w:r w:rsidRPr="00092F5F">
        <w:rPr>
          <w:sz w:val="18"/>
          <w:szCs w:val="18"/>
        </w:rPr>
        <w:t>UNEP/POPS/COP.8/8, paras. 10–15</w:t>
      </w:r>
      <w:bookmarkEnd w:id="0"/>
      <w:r w:rsidRPr="00092F5F">
        <w:rPr>
          <w:sz w:val="18"/>
          <w:szCs w:val="18"/>
        </w:rPr>
        <w:t xml:space="preserve">.  </w:t>
      </w:r>
    </w:p>
  </w:footnote>
  <w:footnote w:id="3">
    <w:p w:rsidR="006C423A" w:rsidRPr="00092F5F" w:rsidRDefault="006C423A" w:rsidP="006C423A">
      <w:pPr>
        <w:pStyle w:val="Normalpool"/>
        <w:tabs>
          <w:tab w:val="left" w:pos="624"/>
        </w:tabs>
        <w:spacing w:before="20" w:after="20"/>
        <w:ind w:left="1247" w:right="57"/>
        <w:rPr>
          <w:sz w:val="18"/>
          <w:szCs w:val="18"/>
        </w:rPr>
      </w:pPr>
      <w:r w:rsidRPr="00092F5F">
        <w:rPr>
          <w:rStyle w:val="FootnoteReference"/>
          <w:szCs w:val="18"/>
        </w:rPr>
        <w:footnoteRef/>
      </w:r>
      <w:r w:rsidRPr="00092F5F">
        <w:rPr>
          <w:sz w:val="18"/>
          <w:szCs w:val="18"/>
        </w:rPr>
        <w:t xml:space="preserve"> UNEP/POPS/COP.8/INF/13.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07966"/>
    <w:multiLevelType w:val="hybridMultilevel"/>
    <w:tmpl w:val="FF2CFA30"/>
    <w:lvl w:ilvl="0" w:tplc="5F84B852">
      <w:start w:val="1"/>
      <w:numFmt w:val="lowerLetter"/>
      <w:lvlText w:val="(%1)"/>
      <w:lvlJc w:val="left"/>
      <w:pPr>
        <w:tabs>
          <w:tab w:val="num" w:pos="3935"/>
        </w:tabs>
        <w:ind w:left="393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2F0116"/>
    <w:multiLevelType w:val="hybridMultilevel"/>
    <w:tmpl w:val="72E8C004"/>
    <w:lvl w:ilvl="0" w:tplc="00CE4434">
      <w:start w:val="1"/>
      <w:numFmt w:val="decimal"/>
      <w:lvlText w:val="%1."/>
      <w:lvlJc w:val="left"/>
      <w:pPr>
        <w:ind w:left="3215" w:hanging="360"/>
      </w:pPr>
      <w:rPr>
        <w:b w:val="0"/>
        <w:i w:val="0"/>
        <w:sz w:val="20"/>
        <w:szCs w:val="20"/>
      </w:rPr>
    </w:lvl>
    <w:lvl w:ilvl="1" w:tplc="04090019" w:tentative="1">
      <w:start w:val="1"/>
      <w:numFmt w:val="lowerLetter"/>
      <w:lvlText w:val="%2."/>
      <w:lvlJc w:val="left"/>
      <w:pPr>
        <w:ind w:left="3935" w:hanging="360"/>
      </w:pPr>
    </w:lvl>
    <w:lvl w:ilvl="2" w:tplc="0409001B" w:tentative="1">
      <w:start w:val="1"/>
      <w:numFmt w:val="lowerRoman"/>
      <w:lvlText w:val="%3."/>
      <w:lvlJc w:val="right"/>
      <w:pPr>
        <w:ind w:left="4655" w:hanging="180"/>
      </w:pPr>
    </w:lvl>
    <w:lvl w:ilvl="3" w:tplc="0409000F" w:tentative="1">
      <w:start w:val="1"/>
      <w:numFmt w:val="decimal"/>
      <w:lvlText w:val="%4."/>
      <w:lvlJc w:val="left"/>
      <w:pPr>
        <w:ind w:left="5375" w:hanging="360"/>
      </w:pPr>
    </w:lvl>
    <w:lvl w:ilvl="4" w:tplc="04090019" w:tentative="1">
      <w:start w:val="1"/>
      <w:numFmt w:val="lowerLetter"/>
      <w:lvlText w:val="%5."/>
      <w:lvlJc w:val="left"/>
      <w:pPr>
        <w:ind w:left="6095" w:hanging="360"/>
      </w:pPr>
    </w:lvl>
    <w:lvl w:ilvl="5" w:tplc="0409001B" w:tentative="1">
      <w:start w:val="1"/>
      <w:numFmt w:val="lowerRoman"/>
      <w:lvlText w:val="%6."/>
      <w:lvlJc w:val="right"/>
      <w:pPr>
        <w:ind w:left="6815" w:hanging="180"/>
      </w:pPr>
    </w:lvl>
    <w:lvl w:ilvl="6" w:tplc="0409000F" w:tentative="1">
      <w:start w:val="1"/>
      <w:numFmt w:val="decimal"/>
      <w:lvlText w:val="%7."/>
      <w:lvlJc w:val="left"/>
      <w:pPr>
        <w:ind w:left="7535" w:hanging="360"/>
      </w:pPr>
    </w:lvl>
    <w:lvl w:ilvl="7" w:tplc="04090019" w:tentative="1">
      <w:start w:val="1"/>
      <w:numFmt w:val="lowerLetter"/>
      <w:lvlText w:val="%8."/>
      <w:lvlJc w:val="left"/>
      <w:pPr>
        <w:ind w:left="8255" w:hanging="360"/>
      </w:pPr>
    </w:lvl>
    <w:lvl w:ilvl="8" w:tplc="0409001B" w:tentative="1">
      <w:start w:val="1"/>
      <w:numFmt w:val="lowerRoman"/>
      <w:lvlText w:val="%9."/>
      <w:lvlJc w:val="right"/>
      <w:pPr>
        <w:ind w:left="8975" w:hanging="180"/>
      </w:pPr>
    </w:lvl>
  </w:abstractNum>
  <w:abstractNum w:abstractNumId="2">
    <w:nsid w:val="6217553C"/>
    <w:multiLevelType w:val="hybridMultilevel"/>
    <w:tmpl w:val="5BE01AEC"/>
    <w:lvl w:ilvl="0" w:tplc="00000005">
      <w:start w:val="1"/>
      <w:numFmt w:val="lowerLetter"/>
      <w:lvlText w:val="(%1)"/>
      <w:lvlJc w:val="left"/>
      <w:pPr>
        <w:ind w:left="3215" w:hanging="360"/>
      </w:pPr>
      <w:rPr>
        <w:rFonts w:cs="Times New Roman"/>
      </w:rPr>
    </w:lvl>
    <w:lvl w:ilvl="1" w:tplc="04090019" w:tentative="1">
      <w:start w:val="1"/>
      <w:numFmt w:val="lowerLetter"/>
      <w:lvlText w:val="%2."/>
      <w:lvlJc w:val="left"/>
      <w:pPr>
        <w:ind w:left="3935" w:hanging="360"/>
      </w:pPr>
    </w:lvl>
    <w:lvl w:ilvl="2" w:tplc="0409001B" w:tentative="1">
      <w:start w:val="1"/>
      <w:numFmt w:val="lowerRoman"/>
      <w:lvlText w:val="%3."/>
      <w:lvlJc w:val="right"/>
      <w:pPr>
        <w:ind w:left="4655" w:hanging="180"/>
      </w:pPr>
    </w:lvl>
    <w:lvl w:ilvl="3" w:tplc="0409000F" w:tentative="1">
      <w:start w:val="1"/>
      <w:numFmt w:val="decimal"/>
      <w:lvlText w:val="%4."/>
      <w:lvlJc w:val="left"/>
      <w:pPr>
        <w:ind w:left="5375" w:hanging="360"/>
      </w:pPr>
    </w:lvl>
    <w:lvl w:ilvl="4" w:tplc="04090019" w:tentative="1">
      <w:start w:val="1"/>
      <w:numFmt w:val="lowerLetter"/>
      <w:lvlText w:val="%5."/>
      <w:lvlJc w:val="left"/>
      <w:pPr>
        <w:ind w:left="6095" w:hanging="360"/>
      </w:pPr>
    </w:lvl>
    <w:lvl w:ilvl="5" w:tplc="0409001B" w:tentative="1">
      <w:start w:val="1"/>
      <w:numFmt w:val="lowerRoman"/>
      <w:lvlText w:val="%6."/>
      <w:lvlJc w:val="right"/>
      <w:pPr>
        <w:ind w:left="6815" w:hanging="180"/>
      </w:pPr>
    </w:lvl>
    <w:lvl w:ilvl="6" w:tplc="0409000F" w:tentative="1">
      <w:start w:val="1"/>
      <w:numFmt w:val="decimal"/>
      <w:lvlText w:val="%7."/>
      <w:lvlJc w:val="left"/>
      <w:pPr>
        <w:ind w:left="7535" w:hanging="360"/>
      </w:pPr>
    </w:lvl>
    <w:lvl w:ilvl="7" w:tplc="04090019" w:tentative="1">
      <w:start w:val="1"/>
      <w:numFmt w:val="lowerLetter"/>
      <w:lvlText w:val="%8."/>
      <w:lvlJc w:val="left"/>
      <w:pPr>
        <w:ind w:left="8255" w:hanging="360"/>
      </w:pPr>
    </w:lvl>
    <w:lvl w:ilvl="8" w:tplc="0409001B" w:tentative="1">
      <w:start w:val="1"/>
      <w:numFmt w:val="lowerRoman"/>
      <w:lvlText w:val="%9."/>
      <w:lvlJc w:val="right"/>
      <w:pPr>
        <w:ind w:left="8975"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6C423A"/>
    <w:rsid w:val="000E111B"/>
    <w:rsid w:val="006C423A"/>
    <w:rsid w:val="00EE16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23A"/>
    <w:pPr>
      <w:spacing w:after="0" w:line="240" w:lineRule="auto"/>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ool">
    <w:name w:val="Normal_pool"/>
    <w:link w:val="NormalpoolChar"/>
    <w:rsid w:val="006C423A"/>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fr-FR"/>
    </w:rPr>
  </w:style>
  <w:style w:type="paragraph" w:customStyle="1" w:styleId="Normal-pool">
    <w:name w:val="Normal-pool"/>
    <w:link w:val="Normal-poolChar"/>
    <w:rsid w:val="006C423A"/>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
    <w:uiPriority w:val="99"/>
    <w:rsid w:val="006C423A"/>
    <w:rPr>
      <w:rFonts w:ascii="Times New Roman" w:hAnsi="Times New Roman" w:cs="Times New Roman"/>
      <w:color w:val="auto"/>
      <w:sz w:val="18"/>
      <w:vertAlign w:val="superscript"/>
    </w:rPr>
  </w:style>
  <w:style w:type="character" w:customStyle="1" w:styleId="Normal-poolChar">
    <w:name w:val="Normal-pool Char"/>
    <w:link w:val="Normal-pool"/>
    <w:locked/>
    <w:rsid w:val="006C423A"/>
    <w:rPr>
      <w:rFonts w:ascii="Times New Roman" w:eastAsia="Times New Roman" w:hAnsi="Times New Roman" w:cs="Times New Roman"/>
      <w:sz w:val="20"/>
      <w:szCs w:val="20"/>
      <w:lang w:val="en-GB"/>
    </w:rPr>
  </w:style>
  <w:style w:type="character" w:customStyle="1" w:styleId="NormalpoolChar">
    <w:name w:val="Normal_pool Char"/>
    <w:link w:val="Normalpool"/>
    <w:rsid w:val="006C423A"/>
    <w:rPr>
      <w:rFonts w:ascii="Times New Roman" w:eastAsia="Times New Roman" w:hAnsi="Times New Roman" w:cs="Times New Roman"/>
      <w:sz w:val="20"/>
      <w:szCs w:val="20"/>
      <w:lang w:val="fr-FR"/>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2899</Characters>
  <Application>Microsoft Office Word</Application>
  <DocSecurity>0</DocSecurity>
  <Lines>24</Lines>
  <Paragraphs>6</Paragraphs>
  <ScaleCrop>false</ScaleCrop>
  <Company>BRS</Company>
  <LinksUpToDate>false</LinksUpToDate>
  <CharactersWithSpaces>3401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achakwera</dc:creator>
  <cp:lastModifiedBy>achakwera</cp:lastModifiedBy>
  <cp:revision>1</cp:revision>
  <dcterms:created xsi:type="dcterms:W3CDTF">2018-02-02T13:50:00Z</dcterms:created>
  <dcterms:modified xsi:type="dcterms:W3CDTF">2018-02-02T13:50:00Z</dcterms:modified>
</cp:coreProperties>
</file>